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 xml:space="preserve"> 光明区服务类项目采购需求申报书</w:t>
      </w:r>
    </w:p>
    <w:p>
      <w:pPr>
        <w:ind w:firstLine="723" w:firstLineChars="200"/>
        <w:jc w:val="center"/>
        <w:rPr>
          <w:rFonts w:ascii="宋体" w:hAnsi="宋体"/>
          <w:b/>
          <w:sz w:val="36"/>
          <w:szCs w:val="36"/>
        </w:rPr>
      </w:pPr>
      <w:r>
        <w:rPr>
          <w:rFonts w:hint="eastAsia" w:ascii="宋体" w:hAnsi="宋体"/>
          <w:b/>
          <w:sz w:val="36"/>
          <w:szCs w:val="36"/>
        </w:rPr>
        <w:t>（仅供参考）</w:t>
      </w:r>
    </w:p>
    <w:p>
      <w:pPr>
        <w:pStyle w:val="17"/>
        <w:ind w:firstLine="0" w:firstLineChars="0"/>
      </w:pPr>
      <w:r>
        <w:rPr>
          <w:rFonts w:hint="eastAsia"/>
        </w:rPr>
        <w:t>备注：</w:t>
      </w:r>
    </w:p>
    <w:p>
      <w:pPr>
        <w:rPr>
          <w:b/>
          <w:color w:val="FF0000"/>
        </w:rPr>
      </w:pPr>
      <w:r>
        <w:rPr>
          <w:rFonts w:hint="eastAsia"/>
          <w:b/>
          <w:color w:val="FF0000"/>
        </w:rPr>
        <w:t>1、标有</w:t>
      </w:r>
      <w:r>
        <w:rPr>
          <w:rFonts w:hint="eastAsia"/>
          <w:b/>
          <w:color w:val="FF0000"/>
          <w:sz w:val="24"/>
        </w:rPr>
        <w:t>※</w:t>
      </w:r>
      <w:r>
        <w:rPr>
          <w:rFonts w:hint="eastAsia"/>
          <w:b/>
          <w:color w:val="FF0000"/>
        </w:rPr>
        <w:t>的内容，请务必清晰填写、注明；</w:t>
      </w:r>
    </w:p>
    <w:p>
      <w:r>
        <w:rPr>
          <w:rFonts w:hint="eastAsia"/>
        </w:rPr>
        <w:t>2、此表请加盖公章，一经上传，即视为本单位领导已审核，同意上传。采购单位填报的商务条款、技术条款若存在倾向性或不公正性条款，由此引起的不良后果将由采购单位自行承担；</w:t>
      </w:r>
    </w:p>
    <w:p>
      <w:r>
        <w:rPr>
          <w:rFonts w:hint="eastAsia"/>
        </w:rPr>
        <w:t>3、申报书应包括详细的合同的实质性内容，可以避免与中标供应商在签订合同时产生纠纷；</w:t>
      </w:r>
    </w:p>
    <w:p>
      <w:r>
        <w:rPr>
          <w:rFonts w:hint="eastAsia"/>
        </w:rPr>
        <w:t>4、此申报书模板仅供参考，采购单位可根据实际情况在合法合规的情况下进行修改；</w:t>
      </w:r>
    </w:p>
    <w:p>
      <w:pPr>
        <w:rPr>
          <w:b/>
          <w:color w:val="FF0000"/>
        </w:rPr>
      </w:pPr>
      <w:r>
        <w:rPr>
          <w:rFonts w:hint="eastAsia"/>
          <w:b/>
          <w:color w:val="FF0000"/>
        </w:rPr>
        <w:t>5、根据《光明区财政局光明区公共资源交易中心关于进一步强化政府采购单位主体责任的通知》（深光发财〔2017〕736号）要求，政府采购经办人实行备案制度，未经备案或非备案人员办理政府采购业务的，区财政局、公共资源交易中心可以拒绝受理相关业务申请；</w:t>
      </w:r>
    </w:p>
    <w:p>
      <w:r>
        <w:rPr>
          <w:rFonts w:hint="eastAsia"/>
        </w:rPr>
        <w:t>6、政府采购经办人应当具备以下条件:一、具有良好的职业道德和较高的业务素质；二、从事相关领域工作、具有相关专业水平、精通专业业务；三、熟悉政府采购相关政策法规；四、没有违法违规等不良行为记录；五、依法履行评审工作职责并承担相应法律责任；</w:t>
      </w:r>
    </w:p>
    <w:p>
      <w:pPr>
        <w:pStyle w:val="29"/>
        <w:ind w:left="0" w:firstLine="0"/>
        <w:rPr>
          <w:rFonts w:hAnsiTheme="minorHAnsi"/>
        </w:rPr>
      </w:pPr>
      <w:r>
        <w:rPr>
          <w:rFonts w:hint="eastAsia" w:hAnsiTheme="minorHAnsi"/>
        </w:rPr>
        <w:t>7.2018年以来，由于专家评审更加严格，公开招标废标率较高，建议采购单位科学制定采购需求，合理设置废标条款。</w:t>
      </w:r>
    </w:p>
    <w:p/>
    <w:p>
      <w:pPr>
        <w:widowControl/>
        <w:jc w:val="left"/>
        <w:rPr>
          <w:rFonts w:asciiTheme="majorHAnsi" w:hAnsiTheme="majorHAnsi" w:eastAsiaTheme="majorEastAsia" w:cstheme="majorBidi"/>
          <w:b/>
          <w:bCs/>
          <w:sz w:val="32"/>
          <w:szCs w:val="32"/>
        </w:rPr>
      </w:pPr>
      <w:r>
        <w:br w:type="page"/>
      </w:r>
    </w:p>
    <w:p>
      <w:pPr>
        <w:pStyle w:val="3"/>
      </w:pPr>
      <w:r>
        <w:rPr>
          <w:rFonts w:hint="eastAsia"/>
        </w:rPr>
        <w:t>一、项目信息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476"/>
        <w:gridCol w:w="1002"/>
        <w:gridCol w:w="1117"/>
        <w:gridCol w:w="1247"/>
        <w:gridCol w:w="3609"/>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0" w:type="auto"/>
            <w:gridSpan w:val="2"/>
            <w:vAlign w:val="center"/>
          </w:tcPr>
          <w:p>
            <w:pPr>
              <w:jc w:val="center"/>
              <w:rPr>
                <w:rFonts w:ascii="宋体" w:hAnsi="宋体" w:eastAsia="宋体" w:cs="宋体"/>
                <w:b/>
              </w:rPr>
            </w:pPr>
            <w:r>
              <w:rPr>
                <w:rFonts w:hint="eastAsia" w:ascii="宋体" w:hAnsi="宋体" w:eastAsia="宋体" w:cs="宋体"/>
                <w:b/>
                <w:sz w:val="24"/>
              </w:rPr>
              <w:t>※</w:t>
            </w:r>
            <w:r>
              <w:rPr>
                <w:rFonts w:hint="eastAsia" w:ascii="宋体" w:hAnsi="宋体" w:eastAsia="宋体" w:cs="宋体"/>
                <w:b/>
              </w:rPr>
              <w:t>项目名称</w:t>
            </w:r>
          </w:p>
        </w:tc>
        <w:tc>
          <w:tcPr>
            <w:tcW w:w="0" w:type="auto"/>
            <w:gridSpan w:val="5"/>
            <w:vAlign w:val="center"/>
          </w:tcPr>
          <w:p>
            <w:pPr>
              <w:jc w:val="center"/>
              <w:rPr>
                <w:rFonts w:ascii="华文细黑" w:hAnsi="华文细黑" w:eastAsia="华文细黑"/>
                <w:b/>
                <w:sz w:val="48"/>
              </w:rPr>
            </w:pPr>
            <w:r>
              <w:rPr>
                <w:rFonts w:hint="eastAsia" w:ascii="宋体" w:hAnsi="宋体" w:eastAsia="宋体" w:cs="宋体"/>
                <w:b/>
                <w:sz w:val="22"/>
              </w:rPr>
              <w:t>光明中心区竖向设计和地下空间专项规划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0" w:type="auto"/>
            <w:gridSpan w:val="2"/>
            <w:vAlign w:val="center"/>
          </w:tcPr>
          <w:p>
            <w:pPr>
              <w:jc w:val="center"/>
              <w:rPr>
                <w:rFonts w:ascii="宋体" w:hAnsi="宋体"/>
                <w:b/>
                <w:szCs w:val="21"/>
              </w:rPr>
            </w:pPr>
            <w:r>
              <w:rPr>
                <w:rFonts w:hint="eastAsia" w:ascii="宋体" w:hAnsi="宋体"/>
                <w:b/>
                <w:szCs w:val="21"/>
              </w:rPr>
              <w:t>※采购单位名称</w:t>
            </w:r>
          </w:p>
        </w:tc>
        <w:tc>
          <w:tcPr>
            <w:tcW w:w="0" w:type="auto"/>
            <w:gridSpan w:val="3"/>
            <w:vAlign w:val="center"/>
          </w:tcPr>
          <w:p>
            <w:pPr>
              <w:rPr>
                <w:rFonts w:ascii="宋体" w:hAnsi="宋体"/>
                <w:b/>
                <w:szCs w:val="21"/>
              </w:rPr>
            </w:pPr>
            <w:r>
              <w:rPr>
                <w:rFonts w:hint="eastAsia" w:ascii="宋体" w:hAnsi="宋体" w:eastAsia="宋体" w:cs="宋体"/>
                <w:b/>
                <w:sz w:val="22"/>
              </w:rPr>
              <w:t>深圳市规划和自然资源局光明管理局（加盖公章）</w:t>
            </w:r>
          </w:p>
        </w:tc>
        <w:tc>
          <w:tcPr>
            <w:tcW w:w="0" w:type="auto"/>
            <w:vAlign w:val="center"/>
          </w:tcPr>
          <w:p>
            <w:pPr>
              <w:jc w:val="center"/>
              <w:rPr>
                <w:rFonts w:ascii="宋体" w:hAnsi="宋体"/>
                <w:b/>
                <w:szCs w:val="21"/>
              </w:rPr>
            </w:pPr>
            <w:r>
              <w:rPr>
                <w:rFonts w:hint="eastAsia" w:ascii="宋体" w:hAnsi="宋体"/>
                <w:b/>
                <w:szCs w:val="21"/>
              </w:rPr>
              <w:t>※采购方式</w:t>
            </w:r>
          </w:p>
        </w:tc>
        <w:tc>
          <w:tcPr>
            <w:tcW w:w="0" w:type="auto"/>
            <w:vAlign w:val="center"/>
          </w:tcPr>
          <w:p>
            <w:pPr>
              <w:jc w:val="center"/>
              <w:rPr>
                <w:rFonts w:ascii="宋体" w:hAnsi="宋体"/>
                <w:szCs w:val="21"/>
              </w:rPr>
            </w:pPr>
            <w:r>
              <w:rPr>
                <w:rFonts w:hint="eastAsia" w:ascii="宋体" w:hAnsi="宋体" w:eastAsia="宋体" w:cs="宋体"/>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2" w:hRule="atLeast"/>
          <w:jc w:val="center"/>
        </w:trPr>
        <w:tc>
          <w:tcPr>
            <w:tcW w:w="0" w:type="auto"/>
            <w:gridSpan w:val="2"/>
            <w:vAlign w:val="center"/>
          </w:tcPr>
          <w:p>
            <w:pPr>
              <w:jc w:val="center"/>
              <w:rPr>
                <w:rFonts w:ascii="宋体" w:hAnsi="宋体"/>
                <w:b/>
                <w:szCs w:val="21"/>
              </w:rPr>
            </w:pPr>
            <w:r>
              <w:rPr>
                <w:rFonts w:hint="eastAsia" w:ascii="宋体" w:hAnsi="宋体"/>
                <w:b/>
                <w:szCs w:val="21"/>
              </w:rPr>
              <w:t>※采购单位地址</w:t>
            </w:r>
          </w:p>
        </w:tc>
        <w:tc>
          <w:tcPr>
            <w:tcW w:w="0" w:type="auto"/>
            <w:gridSpan w:val="3"/>
            <w:vAlign w:val="center"/>
          </w:tcPr>
          <w:p>
            <w:pPr>
              <w:jc w:val="left"/>
              <w:rPr>
                <w:rFonts w:ascii="宋体" w:hAnsi="宋体"/>
                <w:szCs w:val="21"/>
              </w:rPr>
            </w:pPr>
            <w:r>
              <w:rPr>
                <w:rFonts w:hint="eastAsia" w:ascii="宋体" w:hAnsi="宋体" w:eastAsia="宋体" w:cs="宋体"/>
                <w:b/>
                <w:sz w:val="22"/>
              </w:rPr>
              <w:t>广东省深圳市光明区华夏二路光明土地储备大厦</w:t>
            </w:r>
          </w:p>
        </w:tc>
        <w:tc>
          <w:tcPr>
            <w:tcW w:w="0" w:type="auto"/>
            <w:vAlign w:val="center"/>
          </w:tcPr>
          <w:p>
            <w:pPr>
              <w:jc w:val="center"/>
              <w:rPr>
                <w:rFonts w:ascii="宋体" w:hAnsi="宋体" w:eastAsia="宋体" w:cs="宋体"/>
                <w:b/>
              </w:rPr>
            </w:pPr>
            <w:r>
              <w:rPr>
                <w:rFonts w:hint="eastAsia" w:ascii="宋体" w:hAnsi="宋体" w:eastAsia="宋体" w:cs="宋体"/>
                <w:b/>
                <w:sz w:val="24"/>
              </w:rPr>
              <w:t>※</w:t>
            </w:r>
            <w:r>
              <w:rPr>
                <w:rFonts w:hint="eastAsia" w:ascii="宋体" w:hAnsi="宋体" w:eastAsia="宋体" w:cs="宋体"/>
                <w:b/>
              </w:rPr>
              <w:t>联系人</w:t>
            </w:r>
          </w:p>
        </w:tc>
        <w:tc>
          <w:tcPr>
            <w:tcW w:w="0" w:type="auto"/>
            <w:vAlign w:val="center"/>
          </w:tcPr>
          <w:p>
            <w:pPr>
              <w:jc w:val="center"/>
              <w:rPr>
                <w:rFonts w:ascii="宋体" w:hAnsi="宋体" w:eastAsia="PMingLiU"/>
                <w:szCs w:val="21"/>
                <w:lang w:eastAsia="zh-TW"/>
              </w:rPr>
            </w:pPr>
            <w:r>
              <w:rPr>
                <w:rFonts w:hint="eastAsia" w:ascii="宋体" w:hAnsi="宋体" w:eastAsia="PMingLiU" w:cs="宋体"/>
                <w:b/>
                <w:sz w:val="22"/>
                <w:lang w:eastAsia="zh-TW"/>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0" w:type="auto"/>
            <w:gridSpan w:val="2"/>
            <w:vAlign w:val="center"/>
          </w:tcPr>
          <w:p>
            <w:pPr>
              <w:jc w:val="center"/>
              <w:rPr>
                <w:rFonts w:ascii="宋体" w:hAnsi="宋体" w:eastAsia="宋体" w:cs="宋体"/>
                <w:b/>
              </w:rPr>
            </w:pPr>
            <w:r>
              <w:rPr>
                <w:rFonts w:hint="eastAsia" w:ascii="宋体" w:hAnsi="宋体" w:eastAsia="宋体" w:cs="宋体"/>
                <w:b/>
                <w:sz w:val="24"/>
              </w:rPr>
              <w:t>※</w:t>
            </w:r>
            <w:r>
              <w:rPr>
                <w:rFonts w:hint="eastAsia" w:ascii="宋体" w:hAnsi="宋体" w:eastAsia="宋体" w:cs="宋体"/>
                <w:b/>
              </w:rPr>
              <w:t>联系电话</w:t>
            </w:r>
          </w:p>
        </w:tc>
        <w:tc>
          <w:tcPr>
            <w:tcW w:w="0" w:type="auto"/>
            <w:gridSpan w:val="3"/>
            <w:vAlign w:val="center"/>
          </w:tcPr>
          <w:p>
            <w:pPr>
              <w:rPr>
                <w:rFonts w:ascii="宋体" w:hAnsi="宋体" w:eastAsia="PMingLiU" w:cs="宋体"/>
                <w:sz w:val="24"/>
                <w:lang w:eastAsia="zh-TW"/>
              </w:rPr>
            </w:pPr>
            <w:r>
              <w:rPr>
                <w:rFonts w:hint="eastAsia" w:ascii="宋体" w:hAnsi="宋体"/>
                <w:szCs w:val="21"/>
              </w:rPr>
              <w:t>0755-2346</w:t>
            </w:r>
            <w:r>
              <w:rPr>
                <w:rFonts w:hint="eastAsia" w:ascii="宋体" w:hAnsi="宋体" w:eastAsia="PMingLiU"/>
                <w:szCs w:val="21"/>
                <w:lang w:eastAsia="zh-TW"/>
              </w:rPr>
              <w:t>6131</w:t>
            </w:r>
          </w:p>
        </w:tc>
        <w:tc>
          <w:tcPr>
            <w:tcW w:w="0" w:type="auto"/>
            <w:vAlign w:val="center"/>
          </w:tcPr>
          <w:p>
            <w:pPr>
              <w:jc w:val="center"/>
              <w:rPr>
                <w:rFonts w:ascii="宋体" w:hAnsi="宋体" w:eastAsia="宋体" w:cs="宋体"/>
                <w:b/>
              </w:rPr>
            </w:pPr>
            <w:r>
              <w:rPr>
                <w:rFonts w:hint="eastAsia" w:ascii="宋体" w:hAnsi="宋体" w:eastAsia="宋体" w:cs="宋体"/>
                <w:b/>
                <w:sz w:val="24"/>
              </w:rPr>
              <w:t>※</w:t>
            </w:r>
            <w:r>
              <w:rPr>
                <w:rFonts w:hint="eastAsia" w:ascii="宋体" w:hAnsi="宋体" w:eastAsia="宋体" w:cs="宋体"/>
                <w:b/>
              </w:rPr>
              <w:t>传真</w:t>
            </w:r>
          </w:p>
        </w:tc>
        <w:tc>
          <w:tcPr>
            <w:tcW w:w="0" w:type="auto"/>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0" w:type="auto"/>
            <w:gridSpan w:val="5"/>
            <w:vAlign w:val="center"/>
          </w:tcPr>
          <w:p>
            <w:pPr>
              <w:jc w:val="center"/>
              <w:rPr>
                <w:rFonts w:ascii="宋体" w:hAnsi="宋体" w:eastAsia="宋体" w:cs="宋体"/>
                <w:b/>
              </w:rPr>
            </w:pPr>
            <w:r>
              <w:rPr>
                <w:rFonts w:hint="eastAsia" w:ascii="宋体" w:hAnsi="宋体" w:eastAsia="宋体" w:cs="宋体"/>
                <w:b/>
                <w:sz w:val="24"/>
              </w:rPr>
              <w:t>※</w:t>
            </w:r>
            <w:r>
              <w:rPr>
                <w:rFonts w:hint="eastAsia" w:ascii="宋体" w:hAnsi="宋体" w:eastAsia="宋体" w:cs="宋体"/>
                <w:b/>
              </w:rPr>
              <w:t>财政预算金额</w:t>
            </w:r>
          </w:p>
        </w:tc>
        <w:tc>
          <w:tcPr>
            <w:tcW w:w="0" w:type="auto"/>
            <w:gridSpan w:val="2"/>
            <w:vAlign w:val="center"/>
          </w:tcPr>
          <w:p>
            <w:pPr>
              <w:jc w:val="center"/>
              <w:rPr>
                <w:rFonts w:ascii="宋体" w:hAnsi="宋体" w:eastAsia="宋体" w:cs="宋体"/>
                <w:sz w:val="24"/>
              </w:rPr>
            </w:pPr>
            <w:r>
              <w:rPr>
                <w:rFonts w:hint="eastAsia" w:ascii="宋体" w:hAnsi="宋体" w:eastAsia="宋体" w:cs="宋体"/>
                <w:b/>
                <w:sz w:val="22"/>
              </w:rPr>
              <w:t>260万元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0" w:type="auto"/>
            <w:gridSpan w:val="2"/>
            <w:vAlign w:val="center"/>
          </w:tcPr>
          <w:p>
            <w:pPr>
              <w:jc w:val="center"/>
              <w:rPr>
                <w:rFonts w:ascii="宋体" w:hAnsi="宋体" w:eastAsia="宋体" w:cs="宋体"/>
                <w:b/>
              </w:rPr>
            </w:pPr>
            <w:r>
              <w:rPr>
                <w:rFonts w:hint="eastAsia" w:ascii="宋体" w:hAnsi="宋体" w:eastAsia="宋体" w:cs="宋体"/>
                <w:b/>
                <w:sz w:val="24"/>
              </w:rPr>
              <w:t>※</w:t>
            </w:r>
            <w:r>
              <w:rPr>
                <w:rFonts w:hint="eastAsia" w:ascii="宋体" w:hAnsi="宋体" w:eastAsia="宋体" w:cs="宋体"/>
                <w:b/>
                <w:szCs w:val="21"/>
              </w:rPr>
              <w:t>项目前期设计、规划论证单位</w:t>
            </w:r>
          </w:p>
        </w:tc>
        <w:tc>
          <w:tcPr>
            <w:tcW w:w="0" w:type="auto"/>
            <w:gridSpan w:val="5"/>
            <w:vAlign w:val="center"/>
          </w:tcPr>
          <w:p>
            <w:pPr>
              <w:jc w:val="left"/>
              <w:rPr>
                <w:rFonts w:ascii="宋体" w:hAnsi="宋体"/>
                <w:szCs w:val="21"/>
              </w:rPr>
            </w:pPr>
            <w:r>
              <w:rPr>
                <w:rFonts w:hint="eastAsia" w:ascii="宋体" w:hAnsi="宋体" w:cs="宋体"/>
                <w:kern w:val="0"/>
                <w:sz w:val="18"/>
                <w:szCs w:val="18"/>
              </w:rPr>
              <w:t>☑</w:t>
            </w:r>
            <w:r>
              <w:rPr>
                <w:rFonts w:hint="eastAsia" w:ascii="宋体" w:hAnsi="宋体"/>
                <w:szCs w:val="21"/>
              </w:rPr>
              <w:t>无</w:t>
            </w:r>
          </w:p>
          <w:p>
            <w:pPr>
              <w:jc w:val="left"/>
              <w:rPr>
                <w:rFonts w:ascii="宋体" w:hAnsi="宋体" w:eastAsia="宋体" w:cs="宋体"/>
                <w:b/>
                <w:sz w:val="22"/>
              </w:rPr>
            </w:pPr>
            <w:r>
              <w:rPr>
                <w:rFonts w:hint="eastAsia" w:ascii="宋体" w:hAnsi="宋体" w:cs="宋体"/>
                <w:kern w:val="0"/>
                <w:sz w:val="18"/>
                <w:szCs w:val="18"/>
              </w:rPr>
              <w:t>□</w:t>
            </w:r>
            <w:r>
              <w:rPr>
                <w:rFonts w:hint="eastAsia" w:ascii="宋体" w:hAnsi="宋体"/>
                <w:szCs w:val="21"/>
              </w:rPr>
              <w:t>有，单位名称：</w:t>
            </w:r>
          </w:p>
          <w:p>
            <w:pPr>
              <w:rPr>
                <w:rFonts w:ascii="宋体" w:hAnsi="宋体" w:eastAsia="宋体" w:cs="宋体"/>
                <w:b/>
                <w:szCs w:val="21"/>
              </w:rPr>
            </w:pPr>
            <w:r>
              <w:rPr>
                <w:rFonts w:hint="eastAsia" w:ascii="宋体" w:hAnsi="宋体" w:eastAsia="宋体" w:cs="宋体"/>
                <w:b/>
                <w:szCs w:val="21"/>
              </w:rPr>
              <w:t>指引：为本项目需求方案或者前期准备工作提供设计、规划论证等服务的，不得参与本项目投标。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0" w:type="auto"/>
            <w:gridSpan w:val="2"/>
            <w:vMerge w:val="restart"/>
            <w:vAlign w:val="center"/>
          </w:tcPr>
          <w:p>
            <w:pPr>
              <w:pStyle w:val="17"/>
              <w:ind w:firstLine="0" w:firstLineChars="0"/>
              <w:rPr>
                <w:rFonts w:ascii="宋体" w:hAnsi="宋体" w:cs="宋体"/>
                <w:b/>
              </w:rPr>
            </w:pPr>
            <w:r>
              <w:rPr>
                <w:rFonts w:hint="eastAsia" w:ascii="宋体" w:hAnsi="宋体" w:cs="宋体"/>
                <w:b/>
                <w:sz w:val="24"/>
              </w:rPr>
              <w:t>※是否采用评定分离</w:t>
            </w:r>
          </w:p>
        </w:tc>
        <w:tc>
          <w:tcPr>
            <w:tcW w:w="0" w:type="auto"/>
            <w:gridSpan w:val="2"/>
            <w:vMerge w:val="restart"/>
            <w:vAlign w:val="center"/>
          </w:tcPr>
          <w:p>
            <w:pPr>
              <w:pStyle w:val="17"/>
              <w:ind w:firstLine="0" w:firstLineChars="0"/>
              <w:rPr>
                <w:rFonts w:ascii="宋体" w:hAnsi="宋体" w:cs="宋体"/>
              </w:rPr>
            </w:pPr>
            <w:r>
              <w:rPr>
                <w:rFonts w:hint="eastAsia" w:ascii="宋体" w:hAnsi="宋体" w:cs="宋体"/>
                <w:kern w:val="0"/>
                <w:sz w:val="18"/>
                <w:szCs w:val="18"/>
              </w:rPr>
              <w:t>□</w:t>
            </w:r>
            <w:r>
              <w:rPr>
                <w:rFonts w:hint="eastAsia" w:ascii="宋体" w:hAnsi="宋体" w:cs="宋体" w:eastAsiaTheme="minorEastAsia"/>
                <w:kern w:val="0"/>
                <w:szCs w:val="21"/>
              </w:rPr>
              <w:t>是</w:t>
            </w:r>
          </w:p>
          <w:p>
            <w:pPr>
              <w:rPr>
                <w:rFonts w:ascii="宋体" w:hAnsi="宋体" w:cs="宋体"/>
              </w:rPr>
            </w:pPr>
          </w:p>
        </w:tc>
        <w:tc>
          <w:tcPr>
            <w:tcW w:w="0" w:type="auto"/>
            <w:vAlign w:val="center"/>
          </w:tcPr>
          <w:p>
            <w:pPr>
              <w:pStyle w:val="17"/>
              <w:ind w:firstLine="0" w:firstLineChars="0"/>
              <w:rPr>
                <w:rFonts w:ascii="宋体" w:hAnsi="宋体" w:cs="宋体" w:eastAsiaTheme="minorEastAsia"/>
                <w:kern w:val="0"/>
                <w:szCs w:val="21"/>
              </w:rPr>
            </w:pPr>
            <w:r>
              <w:rPr>
                <w:rFonts w:hint="eastAsia" w:ascii="宋体" w:hAnsi="宋体" w:cs="宋体" w:eastAsiaTheme="minorEastAsia"/>
                <w:kern w:val="0"/>
                <w:szCs w:val="21"/>
              </w:rPr>
              <w:t>※评标方法</w:t>
            </w:r>
          </w:p>
        </w:tc>
        <w:tc>
          <w:tcPr>
            <w:tcW w:w="0" w:type="auto"/>
            <w:gridSpan w:val="2"/>
            <w:vAlign w:val="center"/>
          </w:tcPr>
          <w:p>
            <w:pPr>
              <w:pStyle w:val="17"/>
              <w:ind w:firstLine="0" w:firstLineChars="0"/>
              <w:rPr>
                <w:rFonts w:ascii="宋体" w:hAnsi="宋体" w:cs="宋体" w:eastAsiaTheme="minorEastAsia"/>
                <w:kern w:val="0"/>
                <w:szCs w:val="21"/>
              </w:rPr>
            </w:pPr>
            <w:r>
              <w:rPr>
                <w:rFonts w:hint="eastAsia" w:ascii="宋体" w:hAnsi="宋体" w:cs="宋体"/>
                <w:kern w:val="0"/>
                <w:sz w:val="18"/>
                <w:szCs w:val="18"/>
              </w:rPr>
              <w:t>□</w:t>
            </w:r>
            <w:r>
              <w:rPr>
                <w:rFonts w:hint="eastAsia" w:ascii="宋体" w:hAnsi="宋体" w:cs="宋体" w:eastAsiaTheme="minorEastAsia"/>
                <w:kern w:val="0"/>
                <w:szCs w:val="21"/>
              </w:rPr>
              <w:t>综合评分法</w:t>
            </w:r>
            <w:r>
              <w:rPr>
                <w:rFonts w:hint="eastAsia" w:ascii="宋体" w:hAnsi="宋体" w:cs="宋体"/>
                <w:kern w:val="0"/>
                <w:sz w:val="18"/>
                <w:szCs w:val="18"/>
              </w:rPr>
              <w:t>□</w:t>
            </w:r>
            <w:r>
              <w:rPr>
                <w:rFonts w:hint="eastAsia" w:ascii="宋体" w:hAnsi="宋体" w:cs="宋体" w:eastAsiaTheme="minorEastAsia"/>
                <w:kern w:val="0"/>
                <w:szCs w:val="21"/>
              </w:rPr>
              <w:t>定性评审法</w:t>
            </w:r>
            <w:r>
              <w:rPr>
                <w:rFonts w:hint="eastAsia" w:ascii="宋体" w:hAnsi="宋体" w:cs="宋体"/>
                <w:kern w:val="0"/>
                <w:sz w:val="18"/>
                <w:szCs w:val="18"/>
              </w:rPr>
              <w:t>□</w:t>
            </w:r>
            <w:r>
              <w:rPr>
                <w:rFonts w:hint="eastAsia" w:ascii="宋体" w:hAnsi="宋体" w:cs="宋体" w:eastAsiaTheme="minorEastAsia"/>
                <w:kern w:val="0"/>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0" w:type="auto"/>
            <w:gridSpan w:val="2"/>
            <w:vMerge w:val="continue"/>
            <w:vAlign w:val="center"/>
          </w:tcPr>
          <w:p>
            <w:pPr>
              <w:jc w:val="center"/>
              <w:rPr>
                <w:rFonts w:ascii="宋体" w:hAnsi="宋体" w:eastAsia="宋体" w:cs="宋体"/>
                <w:b/>
              </w:rPr>
            </w:pPr>
          </w:p>
        </w:tc>
        <w:tc>
          <w:tcPr>
            <w:tcW w:w="0" w:type="auto"/>
            <w:gridSpan w:val="2"/>
            <w:vMerge w:val="continue"/>
            <w:vAlign w:val="center"/>
          </w:tcPr>
          <w:p>
            <w:pPr>
              <w:rPr>
                <w:rFonts w:ascii="宋体" w:hAnsi="宋体" w:eastAsia="宋体" w:cs="宋体"/>
                <w:szCs w:val="21"/>
              </w:rPr>
            </w:pPr>
          </w:p>
        </w:tc>
        <w:tc>
          <w:tcPr>
            <w:tcW w:w="0" w:type="auto"/>
            <w:vAlign w:val="center"/>
          </w:tcPr>
          <w:p>
            <w:pPr>
              <w:pStyle w:val="17"/>
              <w:ind w:firstLine="0" w:firstLineChars="0"/>
              <w:rPr>
                <w:rFonts w:ascii="宋体" w:hAnsi="宋体" w:cs="宋体" w:eastAsiaTheme="minorEastAsia"/>
                <w:kern w:val="0"/>
                <w:szCs w:val="21"/>
              </w:rPr>
            </w:pPr>
            <w:r>
              <w:rPr>
                <w:rFonts w:hint="eastAsia" w:ascii="宋体" w:hAnsi="宋体" w:cs="宋体" w:eastAsiaTheme="minorEastAsia"/>
                <w:kern w:val="0"/>
                <w:szCs w:val="21"/>
              </w:rPr>
              <w:t>※定标方法</w:t>
            </w:r>
          </w:p>
        </w:tc>
        <w:tc>
          <w:tcPr>
            <w:tcW w:w="0" w:type="auto"/>
            <w:gridSpan w:val="2"/>
            <w:vAlign w:val="center"/>
          </w:tcPr>
          <w:p>
            <w:pPr>
              <w:pStyle w:val="17"/>
              <w:ind w:firstLine="0" w:firstLineChars="0"/>
              <w:rPr>
                <w:rFonts w:ascii="宋体" w:hAnsi="宋体" w:cs="宋体" w:eastAsiaTheme="minorEastAsia"/>
                <w:kern w:val="0"/>
                <w:szCs w:val="21"/>
              </w:rPr>
            </w:pPr>
            <w:r>
              <w:rPr>
                <w:rFonts w:hint="eastAsia" w:ascii="宋体" w:hAnsi="宋体" w:cs="宋体"/>
                <w:kern w:val="0"/>
                <w:sz w:val="18"/>
                <w:szCs w:val="18"/>
              </w:rPr>
              <w:t>□</w:t>
            </w:r>
            <w:r>
              <w:rPr>
                <w:rFonts w:hint="eastAsia" w:ascii="宋体" w:hAnsi="宋体" w:cs="宋体" w:eastAsiaTheme="minorEastAsia"/>
                <w:kern w:val="0"/>
                <w:szCs w:val="21"/>
              </w:rPr>
              <w:t>自定法</w:t>
            </w:r>
            <w:r>
              <w:rPr>
                <w:rFonts w:hint="eastAsia" w:ascii="宋体" w:hAnsi="宋体" w:cs="宋体"/>
                <w:kern w:val="0"/>
                <w:sz w:val="18"/>
                <w:szCs w:val="18"/>
              </w:rPr>
              <w:t>□</w:t>
            </w:r>
            <w:r>
              <w:rPr>
                <w:rFonts w:hint="eastAsia" w:ascii="宋体" w:hAnsi="宋体" w:cs="宋体" w:eastAsiaTheme="minorEastAsia"/>
                <w:kern w:val="0"/>
                <w:szCs w:val="21"/>
              </w:rPr>
              <w:t>抽签法</w:t>
            </w:r>
            <w:r>
              <w:rPr>
                <w:rFonts w:hint="eastAsia" w:ascii="宋体" w:hAnsi="宋体" w:cs="宋体"/>
                <w:kern w:val="0"/>
                <w:sz w:val="18"/>
                <w:szCs w:val="18"/>
              </w:rPr>
              <w:t>□</w:t>
            </w:r>
            <w:r>
              <w:rPr>
                <w:rFonts w:hint="eastAsia" w:ascii="宋体" w:hAnsi="宋体" w:cs="宋体" w:eastAsiaTheme="minorEastAsia"/>
                <w:kern w:val="0"/>
                <w:szCs w:val="21"/>
              </w:rPr>
              <w:t>竞价法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0" w:type="auto"/>
            <w:gridSpan w:val="2"/>
            <w:vMerge w:val="continue"/>
            <w:vAlign w:val="center"/>
          </w:tcPr>
          <w:p>
            <w:pPr>
              <w:jc w:val="center"/>
              <w:rPr>
                <w:rFonts w:ascii="宋体" w:hAnsi="宋体" w:eastAsia="宋体" w:cs="宋体"/>
                <w:b/>
              </w:rPr>
            </w:pPr>
          </w:p>
        </w:tc>
        <w:tc>
          <w:tcPr>
            <w:tcW w:w="0" w:type="auto"/>
            <w:gridSpan w:val="2"/>
            <w:vAlign w:val="center"/>
          </w:tcPr>
          <w:p>
            <w:pPr>
              <w:rPr>
                <w:rFonts w:ascii="宋体" w:hAnsi="宋体" w:eastAsia="宋体" w:cs="宋体"/>
              </w:rPr>
            </w:pPr>
            <w:r>
              <w:rPr>
                <w:rFonts w:hint="eastAsia" w:ascii="宋体" w:hAnsi="宋体" w:cs="宋体"/>
                <w:kern w:val="0"/>
                <w:sz w:val="18"/>
                <w:szCs w:val="18"/>
              </w:rPr>
              <w:t xml:space="preserve">☑ </w:t>
            </w:r>
            <w:r>
              <w:rPr>
                <w:rFonts w:hint="eastAsia" w:ascii="宋体" w:hAnsi="宋体"/>
                <w:szCs w:val="21"/>
              </w:rPr>
              <w:t>否</w:t>
            </w:r>
            <w:r>
              <w:rPr>
                <w:rFonts w:hint="eastAsia" w:ascii="宋体" w:hAnsi="宋体" w:eastAsia="宋体" w:cs="宋体"/>
                <w:color w:val="FF0000"/>
                <w:sz w:val="16"/>
                <w:szCs w:val="16"/>
              </w:rPr>
              <w:t>(由采购人授权评审委员会确定中标供应商)</w:t>
            </w:r>
          </w:p>
        </w:tc>
        <w:tc>
          <w:tcPr>
            <w:tcW w:w="0" w:type="auto"/>
            <w:vAlign w:val="center"/>
          </w:tcPr>
          <w:p>
            <w:pPr>
              <w:rPr>
                <w:rFonts w:ascii="宋体" w:hAnsi="宋体" w:eastAsia="宋体" w:cs="宋体"/>
              </w:rPr>
            </w:pPr>
            <w:r>
              <w:rPr>
                <w:rFonts w:hint="eastAsia" w:ascii="宋体" w:hAnsi="宋体" w:cs="宋体"/>
                <w:kern w:val="0"/>
                <w:szCs w:val="21"/>
              </w:rPr>
              <w:t>※评标方法</w:t>
            </w:r>
          </w:p>
        </w:tc>
        <w:tc>
          <w:tcPr>
            <w:tcW w:w="0" w:type="auto"/>
            <w:gridSpan w:val="2"/>
            <w:vAlign w:val="center"/>
          </w:tcPr>
          <w:p>
            <w:pPr>
              <w:rPr>
                <w:rFonts w:ascii="宋体" w:hAnsi="宋体" w:eastAsia="宋体" w:cs="宋体"/>
              </w:rPr>
            </w:pPr>
            <w:r>
              <w:rPr>
                <w:rFonts w:hint="eastAsia" w:ascii="宋体" w:hAnsi="宋体" w:cs="宋体"/>
                <w:kern w:val="0"/>
                <w:sz w:val="18"/>
                <w:szCs w:val="18"/>
              </w:rPr>
              <w:t xml:space="preserve">☑ </w:t>
            </w:r>
            <w:r>
              <w:rPr>
                <w:rFonts w:hint="eastAsia" w:ascii="宋体" w:hAnsi="宋体" w:eastAsia="宋体" w:cs="宋体"/>
              </w:rPr>
              <w:t>综合评分法</w:t>
            </w:r>
            <w:r>
              <w:rPr>
                <w:rFonts w:hint="eastAsia" w:ascii="宋体" w:hAnsi="宋体" w:cs="宋体"/>
                <w:kern w:val="0"/>
                <w:sz w:val="18"/>
                <w:szCs w:val="18"/>
              </w:rPr>
              <w:t>□</w:t>
            </w:r>
            <w:r>
              <w:rPr>
                <w:rFonts w:hint="eastAsia" w:ascii="宋体" w:hAnsi="宋体" w:eastAsia="宋体" w:cs="宋体"/>
              </w:rPr>
              <w:t>定性评审法</w:t>
            </w:r>
            <w:r>
              <w:rPr>
                <w:rFonts w:hint="eastAsia" w:ascii="宋体" w:hAnsi="宋体" w:cs="宋体"/>
                <w:kern w:val="0"/>
                <w:sz w:val="18"/>
                <w:szCs w:val="18"/>
              </w:rPr>
              <w:t>□</w:t>
            </w:r>
            <w:r>
              <w:rPr>
                <w:rFonts w:hint="eastAsia" w:ascii="宋体" w:hAnsi="宋体" w:eastAsia="宋体" w:cs="宋体"/>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0" w:type="auto"/>
            <w:gridSpan w:val="2"/>
            <w:vAlign w:val="center"/>
          </w:tcPr>
          <w:p>
            <w:pPr>
              <w:jc w:val="center"/>
              <w:rPr>
                <w:rFonts w:ascii="宋体" w:hAnsi="宋体" w:eastAsia="宋体" w:cs="宋体"/>
                <w:b/>
                <w:sz w:val="24"/>
              </w:rPr>
            </w:pPr>
            <w:r>
              <w:rPr>
                <w:rFonts w:hint="eastAsia" w:ascii="宋体" w:hAnsi="宋体" w:eastAsia="宋体" w:cs="宋体"/>
                <w:b/>
                <w:sz w:val="24"/>
              </w:rPr>
              <w:t>※资格招标</w:t>
            </w:r>
          </w:p>
        </w:tc>
        <w:tc>
          <w:tcPr>
            <w:tcW w:w="0" w:type="auto"/>
            <w:gridSpan w:val="5"/>
            <w:vAlign w:val="center"/>
          </w:tcPr>
          <w:p>
            <w:pPr>
              <w:rPr>
                <w:rFonts w:ascii="宋体" w:hAnsi="宋体" w:cs="宋体"/>
                <w:kern w:val="0"/>
                <w:sz w:val="18"/>
                <w:szCs w:val="18"/>
              </w:rPr>
            </w:pPr>
            <w:r>
              <w:rPr>
                <w:rFonts w:hint="eastAsia" w:ascii="宋体" w:hAnsi="宋体" w:cs="宋体"/>
                <w:kern w:val="0"/>
                <w:sz w:val="18"/>
                <w:szCs w:val="18"/>
              </w:rPr>
              <w:t>□是</w:t>
            </w:r>
            <w:r>
              <w:rPr>
                <w:rFonts w:hint="eastAsia" w:ascii="MS Mincho" w:hAnsi="MS Mincho" w:eastAsia="MS Mincho" w:cs="MS Mincho"/>
                <w:kern w:val="0"/>
                <w:sz w:val="18"/>
                <w:szCs w:val="18"/>
              </w:rPr>
              <w:t>☑</w:t>
            </w:r>
            <w:r>
              <w:rPr>
                <w:rFonts w:hint="eastAsia" w:ascii="宋体" w:hAnsi="宋体" w:cs="宋体"/>
                <w:kern w:val="0"/>
                <w:sz w:val="18"/>
                <w:szCs w:val="18"/>
              </w:rPr>
              <w:t>否</w:t>
            </w:r>
            <w:r>
              <w:rPr>
                <w:rFonts w:hint="eastAsia" w:ascii="宋体" w:hAnsi="宋体" w:cs="宋体"/>
                <w:color w:val="FF0000"/>
                <w:kern w:val="0"/>
                <w:sz w:val="18"/>
                <w:szCs w:val="18"/>
              </w:rPr>
              <w:t>(中标供应商数量为</w:t>
            </w:r>
            <w:r>
              <w:rPr>
                <w:rFonts w:hint="eastAsia" w:ascii="宋体" w:hAnsi="宋体" w:cs="宋体"/>
                <w:color w:val="FF0000"/>
                <w:kern w:val="0"/>
                <w:sz w:val="18"/>
                <w:szCs w:val="18"/>
                <w:u w:val="single"/>
              </w:rPr>
              <w:t>1</w:t>
            </w:r>
            <w:r>
              <w:rPr>
                <w:rFonts w:hint="eastAsia" w:ascii="宋体" w:hAnsi="宋体" w:cs="宋体"/>
                <w:color w:val="FF0000"/>
                <w:kern w:val="0"/>
                <w:sz w:val="18"/>
                <w:szCs w:val="18"/>
              </w:rPr>
              <w:t>)</w:t>
            </w:r>
          </w:p>
          <w:p>
            <w:pPr>
              <w:rPr>
                <w:rFonts w:ascii="宋体" w:hAnsi="宋体" w:cs="宋体"/>
                <w:b/>
                <w:kern w:val="0"/>
                <w:sz w:val="18"/>
                <w:szCs w:val="18"/>
              </w:rPr>
            </w:pPr>
            <w:r>
              <w:rPr>
                <w:rFonts w:hint="eastAsia" w:ascii="宋体" w:hAnsi="宋体" w:cs="宋体"/>
                <w:b/>
                <w:kern w:val="0"/>
                <w:sz w:val="18"/>
                <w:szCs w:val="18"/>
              </w:rPr>
              <w:t>指引：</w:t>
            </w:r>
            <w:r>
              <w:rPr>
                <w:rFonts w:hint="eastAsia" w:ascii="宋体" w:hAnsi="宋体" w:cs="宋体"/>
                <w:kern w:val="0"/>
                <w:sz w:val="18"/>
                <w:szCs w:val="18"/>
              </w:rPr>
              <w:t>政府采购应当采取“总价招标”方式实施采购。对于因数量等不确定，不能采取总价招标，或需要确定超过一家中标供应商的，可以采取“资格招标”的方式采购。采购需求应列明支付总金额上限、中标供应商超过一家的，应当明确工作量在各中标供应商中拟分配的方法，以及合同履行过程中退出机制的解决办法。</w:t>
            </w:r>
            <w:r>
              <w:rPr>
                <w:rFonts w:hint="eastAsia" w:ascii="宋体" w:hAnsi="宋体" w:cs="宋体"/>
                <w:b/>
                <w:kern w:val="0"/>
                <w:sz w:val="18"/>
                <w:szCs w:val="18"/>
              </w:rPr>
              <w:t>资格招标必须先经区财政局审批同意。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0" w:type="auto"/>
            <w:gridSpan w:val="2"/>
            <w:vAlign w:val="center"/>
          </w:tcPr>
          <w:p>
            <w:pPr>
              <w:jc w:val="center"/>
              <w:rPr>
                <w:b/>
              </w:rPr>
            </w:pPr>
            <w:r>
              <w:rPr>
                <w:rFonts w:hint="eastAsia"/>
                <w:b/>
              </w:rPr>
              <w:t>※兼投不兼中</w:t>
            </w:r>
          </w:p>
        </w:tc>
        <w:tc>
          <w:tcPr>
            <w:tcW w:w="0" w:type="auto"/>
            <w:gridSpan w:val="5"/>
            <w:vAlign w:val="center"/>
          </w:tcPr>
          <w:p>
            <w:pPr>
              <w:rPr>
                <w:rFonts w:ascii="宋体" w:hAnsi="宋体" w:cs="宋体"/>
                <w:kern w:val="0"/>
                <w:sz w:val="18"/>
                <w:szCs w:val="18"/>
              </w:rPr>
            </w:pPr>
            <w:r>
              <w:rPr>
                <w:rFonts w:hint="eastAsia" w:ascii="宋体" w:hAnsi="宋体" w:cs="宋体"/>
                <w:kern w:val="0"/>
                <w:sz w:val="18"/>
                <w:szCs w:val="18"/>
              </w:rPr>
              <w:t>□是</w:t>
            </w:r>
            <w:r>
              <w:rPr>
                <w:rFonts w:hint="eastAsia" w:ascii="MS Mincho" w:hAnsi="MS Mincho" w:eastAsia="MS Mincho" w:cs="MS Mincho"/>
                <w:kern w:val="0"/>
                <w:sz w:val="18"/>
                <w:szCs w:val="18"/>
              </w:rPr>
              <w:t>☑</w:t>
            </w:r>
            <w:r>
              <w:rPr>
                <w:rFonts w:hint="eastAsia" w:ascii="宋体" w:hAnsi="宋体" w:cs="宋体"/>
                <w:kern w:val="0"/>
                <w:sz w:val="18"/>
                <w:szCs w:val="18"/>
              </w:rPr>
              <w:t>否</w:t>
            </w:r>
          </w:p>
          <w:p>
            <w:pPr>
              <w:rPr>
                <w:rFonts w:ascii="宋体" w:hAnsi="宋体" w:cs="宋体"/>
                <w:kern w:val="0"/>
                <w:sz w:val="18"/>
                <w:szCs w:val="18"/>
              </w:rPr>
            </w:pPr>
            <w:r>
              <w:rPr>
                <w:rFonts w:hint="eastAsia" w:ascii="宋体" w:hAnsi="宋体" w:cs="宋体"/>
                <w:b/>
                <w:kern w:val="0"/>
                <w:sz w:val="18"/>
                <w:szCs w:val="18"/>
              </w:rPr>
              <w:t>指引：1.</w:t>
            </w:r>
            <w:r>
              <w:rPr>
                <w:rFonts w:hint="eastAsia" w:ascii="宋体" w:hAnsi="宋体" w:cs="宋体"/>
                <w:kern w:val="0"/>
                <w:sz w:val="18"/>
                <w:szCs w:val="18"/>
              </w:rPr>
              <w:t>若项目分多个包，供应商可以同时对多个包号进行投标，但最多只可以中其中一个包，中标后，在其他包的投标将直接按无效投标处理。所有包号有效供应商均须达到法定数量（三家或以上），有效供应商未达到法定数量的包号作废标处理。</w:t>
            </w:r>
          </w:p>
          <w:p>
            <w:pPr>
              <w:rPr>
                <w:sz w:val="18"/>
                <w:szCs w:val="18"/>
              </w:rPr>
            </w:pPr>
            <w:r>
              <w:rPr>
                <w:rFonts w:hint="eastAsia" w:ascii="宋体" w:hAnsi="宋体" w:cs="宋体"/>
                <w:kern w:val="0"/>
                <w:sz w:val="18"/>
                <w:szCs w:val="18"/>
              </w:rPr>
              <w:t>2.</w:t>
            </w:r>
            <w:r>
              <w:rPr>
                <w:rFonts w:hint="eastAsia" w:ascii="宋体" w:hAnsi="宋体" w:cs="宋体"/>
                <w:b/>
                <w:kern w:val="0"/>
                <w:sz w:val="18"/>
                <w:szCs w:val="18"/>
              </w:rPr>
              <w:t>“兼投不兼中”必须先经区财政局审批同意。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0" w:type="auto"/>
            <w:gridSpan w:val="2"/>
            <w:vAlign w:val="center"/>
          </w:tcPr>
          <w:p>
            <w:pPr>
              <w:spacing w:line="320" w:lineRule="exact"/>
              <w:jc w:val="center"/>
              <w:rPr>
                <w:rFonts w:ascii="宋体" w:hAnsi="宋体" w:eastAsia="宋体" w:cs="宋体"/>
                <w:b/>
                <w:bCs/>
                <w:szCs w:val="21"/>
              </w:rPr>
            </w:pPr>
            <w:r>
              <w:rPr>
                <w:rFonts w:hint="eastAsia" w:ascii="宋体" w:hAnsi="宋体" w:eastAsia="宋体" w:cs="宋体"/>
                <w:b/>
                <w:sz w:val="24"/>
              </w:rPr>
              <w:t>※</w:t>
            </w:r>
            <w:r>
              <w:rPr>
                <w:rFonts w:hint="eastAsia" w:ascii="宋体" w:hAnsi="宋体" w:eastAsia="宋体" w:cs="宋体"/>
                <w:b/>
                <w:bCs/>
                <w:szCs w:val="21"/>
              </w:rPr>
              <w:t>采购单位是否委派评委代表</w:t>
            </w:r>
          </w:p>
        </w:tc>
        <w:tc>
          <w:tcPr>
            <w:tcW w:w="0" w:type="auto"/>
            <w:gridSpan w:val="5"/>
            <w:vAlign w:val="center"/>
          </w:tcPr>
          <w:p>
            <w:pPr>
              <w:spacing w:line="320" w:lineRule="exact"/>
              <w:rPr>
                <w:rFonts w:ascii="宋体" w:hAnsi="宋体" w:eastAsia="宋体" w:cs="宋体"/>
                <w:sz w:val="18"/>
                <w:szCs w:val="18"/>
              </w:rPr>
            </w:pPr>
            <w:r>
              <w:rPr>
                <w:rFonts w:hint="eastAsia" w:ascii="MS Mincho" w:hAnsi="MS Mincho" w:eastAsia="MS Mincho" w:cs="MS Mincho"/>
                <w:sz w:val="18"/>
                <w:szCs w:val="18"/>
              </w:rPr>
              <w:t>☑</w:t>
            </w:r>
            <w:r>
              <w:rPr>
                <w:rFonts w:hint="eastAsia" w:ascii="宋体" w:hAnsi="宋体" w:eastAsia="宋体" w:cs="宋体"/>
                <w:sz w:val="18"/>
                <w:szCs w:val="18"/>
              </w:rPr>
              <w:t>是□否</w:t>
            </w:r>
          </w:p>
          <w:p>
            <w:pPr>
              <w:rPr>
                <w:rFonts w:ascii="宋体" w:hAnsi="宋体" w:cs="宋体"/>
                <w:b/>
                <w:kern w:val="0"/>
                <w:sz w:val="18"/>
                <w:szCs w:val="18"/>
              </w:rPr>
            </w:pPr>
            <w:r>
              <w:rPr>
                <w:rFonts w:hint="eastAsia" w:ascii="宋体" w:hAnsi="宋体" w:cs="宋体"/>
                <w:b/>
                <w:kern w:val="0"/>
                <w:sz w:val="18"/>
                <w:szCs w:val="18"/>
              </w:rPr>
              <w:t>指引：1.若不派代表作为评标委员会成员的，开标前3天请书面来函我中心。</w:t>
            </w:r>
          </w:p>
          <w:p>
            <w:pPr>
              <w:rPr>
                <w:rFonts w:ascii="宋体" w:hAnsi="宋体" w:cs="宋体"/>
                <w:kern w:val="0"/>
                <w:sz w:val="18"/>
                <w:szCs w:val="18"/>
              </w:rPr>
            </w:pPr>
            <w:r>
              <w:rPr>
                <w:rFonts w:hint="eastAsia" w:ascii="宋体" w:hAnsi="宋体" w:cs="宋体"/>
                <w:kern w:val="0"/>
                <w:sz w:val="18"/>
                <w:szCs w:val="18"/>
              </w:rPr>
              <w:t>2.选用评定分离方法的，此项不需要填写。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0" w:type="auto"/>
            <w:gridSpan w:val="2"/>
            <w:vAlign w:val="center"/>
          </w:tcPr>
          <w:p>
            <w:pPr>
              <w:jc w:val="center"/>
              <w:rPr>
                <w:b/>
              </w:rPr>
            </w:pPr>
            <w:r>
              <w:rPr>
                <w:rFonts w:hint="eastAsia"/>
                <w:b/>
              </w:rPr>
              <w:t>其它要求</w:t>
            </w:r>
          </w:p>
          <w:p>
            <w:pPr>
              <w:jc w:val="center"/>
              <w:rPr>
                <w:b/>
              </w:rPr>
            </w:pPr>
            <w:r>
              <w:rPr>
                <w:rFonts w:hint="eastAsia"/>
                <w:b/>
              </w:rPr>
              <w:t>（公开招标无需填写）</w:t>
            </w:r>
          </w:p>
        </w:tc>
        <w:tc>
          <w:tcPr>
            <w:tcW w:w="0" w:type="auto"/>
            <w:gridSpan w:val="5"/>
            <w:vAlign w:val="center"/>
          </w:tcPr>
          <w:p>
            <w:pPr>
              <w:spacing w:line="320" w:lineRule="exact"/>
              <w:rPr>
                <w:b/>
                <w:sz w:val="24"/>
              </w:rPr>
            </w:pPr>
            <w:r>
              <w:rPr>
                <w:rFonts w:hint="eastAsia"/>
                <w:b/>
                <w:sz w:val="24"/>
              </w:rPr>
              <w:t>非公开招标方式特定供应商联系方式</w:t>
            </w:r>
          </w:p>
          <w:p>
            <w:pPr>
              <w:spacing w:line="320" w:lineRule="exact"/>
              <w:rPr>
                <w:bCs/>
                <w:szCs w:val="21"/>
              </w:rPr>
            </w:pPr>
            <w:r>
              <w:rPr>
                <w:rFonts w:hint="eastAsia"/>
                <w:bCs/>
                <w:szCs w:val="21"/>
              </w:rPr>
              <w:t>单位名称：</w:t>
            </w:r>
          </w:p>
          <w:p>
            <w:pPr>
              <w:spacing w:line="320" w:lineRule="exact"/>
              <w:rPr>
                <w:bCs/>
                <w:szCs w:val="21"/>
              </w:rPr>
            </w:pPr>
            <w:r>
              <w:rPr>
                <w:rFonts w:hint="eastAsia"/>
                <w:bCs/>
                <w:szCs w:val="21"/>
              </w:rPr>
              <w:t>项目经办人：</w:t>
            </w:r>
          </w:p>
          <w:p>
            <w:pPr>
              <w:spacing w:line="320" w:lineRule="exact"/>
              <w:rPr>
                <w:bCs/>
                <w:szCs w:val="21"/>
              </w:rPr>
            </w:pPr>
            <w:r>
              <w:rPr>
                <w:rFonts w:hint="eastAsia"/>
                <w:bCs/>
                <w:szCs w:val="21"/>
              </w:rPr>
              <w:t>联系电话：</w:t>
            </w:r>
          </w:p>
          <w:p>
            <w:pPr>
              <w:spacing w:line="320" w:lineRule="exact"/>
              <w:rPr>
                <w:rFonts w:ascii="MS Mincho" w:hAnsi="MS Mincho" w:eastAsia="MS Mincho" w:cs="MS Mincho"/>
                <w:sz w:val="18"/>
                <w:szCs w:val="18"/>
              </w:rPr>
            </w:pPr>
            <w:r>
              <w:rPr>
                <w:rFonts w:hint="eastAsia" w:ascii="宋体" w:hAnsi="宋体" w:cs="宋体"/>
                <w:b/>
                <w:color w:val="FF0000"/>
                <w:kern w:val="0"/>
                <w:szCs w:val="21"/>
              </w:rPr>
              <w:t>指引：采购推荐供应商名单必须经过主管部门报批，并将主管部门批复材料提交至交易中心。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4" w:hRule="atLeast"/>
          <w:jc w:val="center"/>
        </w:trPr>
        <w:tc>
          <w:tcPr>
            <w:tcW w:w="0" w:type="auto"/>
            <w:vAlign w:val="center"/>
          </w:tcPr>
          <w:p>
            <w:pPr>
              <w:jc w:val="center"/>
              <w:rPr>
                <w:rFonts w:ascii="宋体" w:hAnsi="宋体"/>
                <w:szCs w:val="21"/>
              </w:rPr>
            </w:pPr>
            <w:r>
              <w:rPr>
                <w:rFonts w:hint="eastAsia" w:ascii="宋体" w:hAnsi="宋体" w:cs="宋体"/>
                <w:b/>
                <w:kern w:val="0"/>
                <w:sz w:val="28"/>
                <w:szCs w:val="28"/>
              </w:rPr>
              <w:t>供应商资格要求</w:t>
            </w:r>
          </w:p>
        </w:tc>
        <w:tc>
          <w:tcPr>
            <w:tcW w:w="0" w:type="auto"/>
            <w:gridSpan w:val="6"/>
            <w:vAlign w:val="center"/>
          </w:tcPr>
          <w:p>
            <w:pPr>
              <w:rPr>
                <w:rFonts w:ascii="宋体" w:hAnsi="宋体" w:cs="宋体"/>
                <w:kern w:val="0"/>
                <w:sz w:val="18"/>
                <w:szCs w:val="18"/>
              </w:rPr>
            </w:pPr>
            <w:r>
              <w:rPr>
                <w:rFonts w:hint="eastAsia" w:ascii="宋体" w:hAnsi="宋体" w:cs="宋体"/>
                <w:kern w:val="0"/>
                <w:sz w:val="18"/>
                <w:szCs w:val="18"/>
              </w:rPr>
              <w:t>1）投标人须为深圳市政府采购中心的注册供应商且在光明区公共资源交易中心网上响应投标；</w:t>
            </w:r>
          </w:p>
          <w:p>
            <w:pPr>
              <w:widowControl/>
              <w:jc w:val="left"/>
              <w:rPr>
                <w:rFonts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）投标人须是在中华人民共和国境内注册，具有独立法人资格或是具有独立承担民事责任的能力的其它组织（提供营业执照扫描件或事业单位法人证等法人证明扫描件，原件备查）；</w:t>
            </w:r>
            <w:r>
              <w:rPr>
                <w:rFonts w:ascii="宋体" w:hAnsi="宋体" w:cs="宋体"/>
                <w:kern w:val="0"/>
                <w:sz w:val="18"/>
                <w:szCs w:val="18"/>
              </w:rPr>
              <w:t>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r>
              <w:rPr>
                <w:rFonts w:hint="eastAsia" w:ascii="宋体" w:hAnsi="宋体" w:cs="宋体"/>
                <w:kern w:val="0"/>
                <w:sz w:val="18"/>
                <w:szCs w:val="18"/>
              </w:rPr>
              <w:t>；</w:t>
            </w:r>
          </w:p>
          <w:p>
            <w:pPr>
              <w:widowControl/>
              <w:jc w:val="left"/>
              <w:rPr>
                <w:rFonts w:ascii="宋体" w:hAnsi="宋体" w:cs="宋体"/>
                <w:kern w:val="0"/>
                <w:sz w:val="18"/>
                <w:szCs w:val="18"/>
              </w:rPr>
            </w:pPr>
            <w:r>
              <w:rPr>
                <w:rFonts w:hint="eastAsia" w:ascii="宋体" w:hAnsi="宋体" w:cs="宋体"/>
                <w:kern w:val="0"/>
                <w:sz w:val="18"/>
                <w:szCs w:val="18"/>
              </w:rPr>
              <w:t>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政府采购活动时不存在被有关部门列入失信被执行人、重大税收违法案件当事人名单的情况（由供应商在“诚信承诺函”中作出声明，提供“诚信承诺函”，诚信承诺函格式详见招标文件“投标文件的格式、附件”）；</w:t>
            </w:r>
          </w:p>
          <w:p>
            <w:pPr>
              <w:widowControl/>
              <w:jc w:val="left"/>
              <w:rPr>
                <w:rFonts w:ascii="宋体" w:hAnsi="宋体" w:cs="宋体"/>
                <w:kern w:val="0"/>
                <w:sz w:val="18"/>
                <w:szCs w:val="18"/>
              </w:rPr>
            </w:pPr>
            <w:r>
              <w:rPr>
                <w:rFonts w:ascii="宋体" w:hAnsi="宋体" w:cs="宋体"/>
                <w:kern w:val="0"/>
                <w:sz w:val="18"/>
                <w:szCs w:val="18"/>
              </w:rPr>
              <w:t>4</w:t>
            </w:r>
            <w:r>
              <w:rPr>
                <w:rFonts w:hint="eastAsia" w:ascii="宋体" w:hAnsi="宋体" w:cs="宋体"/>
                <w:kern w:val="0"/>
                <w:sz w:val="18"/>
                <w:szCs w:val="18"/>
              </w:rPr>
              <w:t>）投标人具备《中华人民共和国政府采购法》第二十二条的条件（由供应商在“诚信承诺函”中作出声明，提供“诚信承诺函”，诚信承诺函格式详见招标文件“投标文件的格式、附件”）</w:t>
            </w:r>
          </w:p>
          <w:p>
            <w:pPr>
              <w:widowControl/>
              <w:jc w:val="left"/>
              <w:rPr>
                <w:rFonts w:ascii="宋体" w:hAnsi="宋体" w:cs="宋体"/>
                <w:kern w:val="0"/>
                <w:sz w:val="18"/>
                <w:szCs w:val="18"/>
              </w:rPr>
            </w:pPr>
            <w:r>
              <w:rPr>
                <w:rFonts w:hint="eastAsia" w:ascii="宋体" w:hAnsi="宋体" w:cs="宋体"/>
                <w:kern w:val="0"/>
                <w:sz w:val="18"/>
                <w:szCs w:val="18"/>
              </w:rPr>
              <w:t>5）投标人为采购人提供整体设计、规范编制或者本项目管理、监理、检测等服务的，不得再参与此次采购项目的投标.</w:t>
            </w:r>
          </w:p>
          <w:p>
            <w:pPr>
              <w:widowControl/>
              <w:jc w:val="left"/>
              <w:rPr>
                <w:rFonts w:ascii="宋体" w:hAnsi="宋体" w:cs="宋体"/>
                <w:kern w:val="0"/>
                <w:sz w:val="18"/>
                <w:szCs w:val="18"/>
              </w:rPr>
            </w:pPr>
            <w:r>
              <w:rPr>
                <w:rFonts w:hint="eastAsia" w:ascii="宋体" w:hAnsi="宋体" w:cs="宋体"/>
                <w:kern w:val="0"/>
                <w:sz w:val="18"/>
                <w:szCs w:val="18"/>
              </w:rPr>
              <w:t>6）本项目不接受联合体投标（如允许联合体投标，投标人必须提供《联合体投标协议》（格式自定）），不接受投标人选用进口产品参与投标，不允许分包、转包。</w:t>
            </w:r>
          </w:p>
          <w:p>
            <w:pPr>
              <w:widowControl/>
              <w:jc w:val="left"/>
              <w:rPr>
                <w:rFonts w:ascii="宋体" w:hAnsi="宋体" w:cs="宋体"/>
                <w:kern w:val="0"/>
                <w:sz w:val="18"/>
                <w:szCs w:val="18"/>
              </w:rPr>
            </w:pPr>
            <w:r>
              <w:rPr>
                <w:rFonts w:hint="eastAsia" w:ascii="宋体" w:hAnsi="宋体"/>
                <w:sz w:val="18"/>
                <w:szCs w:val="18"/>
              </w:rPr>
              <w:t>7）</w:t>
            </w:r>
            <w:r>
              <w:rPr>
                <w:rFonts w:hint="eastAsia" w:ascii="宋体" w:hAnsi="宋体" w:cs="宋体"/>
                <w:kern w:val="0"/>
                <w:sz w:val="18"/>
                <w:szCs w:val="18"/>
              </w:rPr>
              <w:t>投标人须具有行政主管部门核发的城乡规划编制甲级资质证书。（注：根据《自然资源部办公厅关于国土空间规划编制资质有关问题的函》（自然资办函[2020]2375号），如城乡规划编制资质、土地规划编制资质有效期过期，以原有规划资质作为参考。投标人须在投标文件中提供原有规划资质复印件，原件备查。）</w:t>
            </w:r>
          </w:p>
          <w:p>
            <w:pPr>
              <w:rPr>
                <w:rFonts w:ascii="宋体" w:hAnsi="宋体" w:cs="宋体"/>
                <w:kern w:val="0"/>
                <w:sz w:val="18"/>
                <w:szCs w:val="18"/>
              </w:rPr>
            </w:pPr>
            <w:r>
              <w:rPr>
                <w:rFonts w:hint="eastAsia" w:ascii="宋体" w:hAnsi="宋体" w:cs="宋体"/>
                <w:b/>
                <w:kern w:val="0"/>
                <w:sz w:val="18"/>
                <w:szCs w:val="18"/>
                <w:u w:val="single"/>
              </w:rPr>
              <w:t>指引（一般项目仅可以要求前6项为供应商资格要求，如有特别要求可以按下列标准提出，但不得违反《中华人民共和国政府采购法实施条例》第二十条、《深圳经济特区政府采购条例实施细则》第三十四条及《政府采购货物和服务招标投标管理办法》（财政部令第87号）之规定）</w:t>
            </w:r>
            <w:r>
              <w:rPr>
                <w:rFonts w:hint="eastAsia" w:ascii="宋体" w:hAnsi="宋体" w:cs="宋体"/>
                <w:kern w:val="0"/>
                <w:sz w:val="18"/>
                <w:szCs w:val="18"/>
              </w:rPr>
              <w:t>：</w:t>
            </w:r>
          </w:p>
          <w:p>
            <w:pPr>
              <w:rPr>
                <w:rFonts w:ascii="宋体" w:hAnsi="宋体" w:cs="宋体"/>
                <w:color w:val="FF0000"/>
                <w:kern w:val="0"/>
                <w:sz w:val="18"/>
                <w:szCs w:val="18"/>
              </w:rPr>
            </w:pPr>
            <w:r>
              <w:rPr>
                <w:rFonts w:hint="eastAsia" w:ascii="宋体" w:hAnsi="宋体" w:cs="宋体"/>
                <w:color w:val="FF0000"/>
                <w:kern w:val="0"/>
                <w:sz w:val="18"/>
                <w:szCs w:val="18"/>
              </w:rPr>
              <w:t>（1）仅限于国家有明确规定的、项目实施必须具备的资质要求。编制时必须注明颁发部门名称及资质或证书名称；</w:t>
            </w:r>
          </w:p>
          <w:p>
            <w:pPr>
              <w:numPr>
                <w:ilvl w:val="0"/>
                <w:numId w:val="1"/>
              </w:numPr>
              <w:ind w:left="0" w:hanging="284"/>
              <w:rPr>
                <w:rFonts w:ascii="宋体" w:hAnsi="宋体" w:cs="宋体"/>
                <w:color w:val="FF0000"/>
                <w:kern w:val="0"/>
                <w:sz w:val="18"/>
                <w:szCs w:val="18"/>
              </w:rPr>
            </w:pPr>
            <w:r>
              <w:rPr>
                <w:rFonts w:hint="eastAsia" w:ascii="宋体" w:hAnsi="宋体" w:cs="宋体"/>
                <w:color w:val="FF0000"/>
                <w:kern w:val="0"/>
                <w:sz w:val="18"/>
                <w:szCs w:val="18"/>
              </w:rPr>
              <w:t>（2）仅限于与项目相应的等级要求，不得超出或低于标准；</w:t>
            </w:r>
          </w:p>
          <w:p>
            <w:pPr>
              <w:numPr>
                <w:ilvl w:val="0"/>
                <w:numId w:val="1"/>
              </w:numPr>
              <w:ind w:left="0" w:hanging="284"/>
              <w:rPr>
                <w:rFonts w:ascii="宋体" w:hAnsi="宋体" w:cs="宋体"/>
                <w:color w:val="FF0000"/>
                <w:kern w:val="0"/>
                <w:sz w:val="18"/>
                <w:szCs w:val="18"/>
              </w:rPr>
            </w:pPr>
            <w:r>
              <w:rPr>
                <w:rFonts w:hint="eastAsia" w:ascii="宋体" w:hAnsi="宋体" w:cs="宋体"/>
                <w:color w:val="FF0000"/>
                <w:kern w:val="0"/>
                <w:sz w:val="18"/>
                <w:szCs w:val="18"/>
              </w:rPr>
              <w:t>（3）申报时必须以附件的形式提交有关法律法规依据；</w:t>
            </w:r>
          </w:p>
          <w:p>
            <w:pPr>
              <w:numPr>
                <w:ilvl w:val="0"/>
                <w:numId w:val="1"/>
              </w:numPr>
              <w:ind w:left="0" w:hanging="284"/>
              <w:rPr>
                <w:rFonts w:ascii="宋体" w:hAnsi="宋体" w:cs="宋体"/>
                <w:color w:val="FF0000"/>
                <w:kern w:val="0"/>
                <w:sz w:val="18"/>
                <w:szCs w:val="18"/>
              </w:rPr>
            </w:pPr>
            <w:r>
              <w:rPr>
                <w:rFonts w:hint="eastAsia" w:ascii="宋体" w:hAnsi="宋体" w:cs="宋体"/>
                <w:color w:val="FF0000"/>
                <w:kern w:val="0"/>
                <w:sz w:val="18"/>
                <w:szCs w:val="18"/>
              </w:rPr>
              <w:t>（4）资格要求不能重复列为评分项；</w:t>
            </w:r>
          </w:p>
          <w:p>
            <w:pPr>
              <w:rPr>
                <w:rFonts w:ascii="宋体" w:hAnsi="宋体" w:cs="宋体"/>
                <w:color w:val="FF0000"/>
                <w:kern w:val="0"/>
                <w:sz w:val="18"/>
                <w:szCs w:val="18"/>
              </w:rPr>
            </w:pPr>
            <w:r>
              <w:rPr>
                <w:rFonts w:hint="eastAsia" w:ascii="宋体" w:hAnsi="宋体" w:cs="宋体"/>
                <w:color w:val="FF0000"/>
                <w:kern w:val="0"/>
                <w:sz w:val="18"/>
                <w:szCs w:val="18"/>
              </w:rPr>
              <w:t>（5）不得将注册资本、资产总额、营业收入、从业人员、利润、纳税额、业绩经验、经营网点、现场踏勘等条件作为合格供应商资质条款，也不得通过将除进口货物以外的生产厂家授权、承诺、证明、背书等作为资格要求。</w:t>
            </w:r>
          </w:p>
          <w:p>
            <w:pPr>
              <w:rPr>
                <w:rFonts w:ascii="宋体" w:hAnsi="宋体" w:cs="宋体"/>
                <w:b/>
                <w:kern w:val="0"/>
                <w:sz w:val="18"/>
                <w:szCs w:val="18"/>
              </w:rPr>
            </w:pPr>
            <w:r>
              <w:rPr>
                <w:rFonts w:hint="eastAsia" w:ascii="宋体" w:hAnsi="宋体" w:cs="宋体"/>
                <w:b/>
                <w:kern w:val="0"/>
                <w:sz w:val="18"/>
                <w:szCs w:val="18"/>
              </w:rPr>
              <w:t>不满足上述要求，申报不予受理。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0" w:type="auto"/>
            <w:vMerge w:val="restart"/>
            <w:vAlign w:val="center"/>
          </w:tcPr>
          <w:p>
            <w:pPr>
              <w:jc w:val="center"/>
              <w:rPr>
                <w:rFonts w:ascii="宋体" w:hAnsi="宋体" w:cs="宋体"/>
                <w:b/>
                <w:kern w:val="0"/>
                <w:sz w:val="28"/>
                <w:szCs w:val="28"/>
              </w:rPr>
            </w:pPr>
            <w:r>
              <w:rPr>
                <w:rFonts w:hint="eastAsia" w:ascii="宋体" w:hAnsi="宋体" w:cs="宋体"/>
                <w:b/>
                <w:kern w:val="0"/>
                <w:sz w:val="28"/>
                <w:szCs w:val="28"/>
              </w:rPr>
              <w:t>服务</w:t>
            </w:r>
          </w:p>
          <w:p>
            <w:pPr>
              <w:jc w:val="center"/>
              <w:rPr>
                <w:rFonts w:ascii="宋体" w:hAnsi="宋体" w:cs="宋体"/>
                <w:b/>
                <w:kern w:val="0"/>
                <w:sz w:val="28"/>
                <w:szCs w:val="28"/>
              </w:rPr>
            </w:pPr>
            <w:r>
              <w:rPr>
                <w:rFonts w:hint="eastAsia" w:ascii="宋体" w:hAnsi="宋体" w:cs="宋体"/>
                <w:b/>
                <w:kern w:val="0"/>
                <w:sz w:val="28"/>
                <w:szCs w:val="28"/>
              </w:rPr>
              <w:t>内容</w:t>
            </w:r>
          </w:p>
        </w:tc>
        <w:tc>
          <w:tcPr>
            <w:tcW w:w="0" w:type="auto"/>
            <w:vAlign w:val="center"/>
          </w:tcPr>
          <w:p>
            <w:pPr>
              <w:jc w:val="center"/>
              <w:rPr>
                <w:rFonts w:ascii="宋体" w:hAnsi="宋体" w:eastAsia="宋体" w:cs="宋体"/>
                <w:b/>
                <w:bCs/>
                <w:kern w:val="0"/>
                <w:szCs w:val="21"/>
              </w:rPr>
            </w:pPr>
            <w:r>
              <w:rPr>
                <w:rFonts w:hint="eastAsia" w:ascii="宋体" w:hAnsi="宋体" w:eastAsia="宋体"/>
                <w:b/>
                <w:szCs w:val="21"/>
              </w:rPr>
              <w:t>序号</w:t>
            </w:r>
          </w:p>
        </w:tc>
        <w:tc>
          <w:tcPr>
            <w:tcW w:w="0" w:type="auto"/>
            <w:vAlign w:val="center"/>
          </w:tcPr>
          <w:p>
            <w:pPr>
              <w:jc w:val="center"/>
              <w:rPr>
                <w:rFonts w:ascii="宋体" w:hAnsi="宋体" w:eastAsia="宋体" w:cs="宋体"/>
                <w:b/>
                <w:bCs/>
                <w:kern w:val="0"/>
                <w:szCs w:val="21"/>
              </w:rPr>
            </w:pPr>
            <w:r>
              <w:rPr>
                <w:rFonts w:hint="eastAsia" w:ascii="宋体" w:hAnsi="宋体" w:eastAsia="宋体" w:cs="宋体"/>
                <w:b/>
                <w:bCs/>
                <w:kern w:val="0"/>
                <w:szCs w:val="21"/>
              </w:rPr>
              <w:t>名称</w:t>
            </w:r>
          </w:p>
        </w:tc>
        <w:tc>
          <w:tcPr>
            <w:tcW w:w="0" w:type="auto"/>
            <w:gridSpan w:val="3"/>
            <w:vAlign w:val="center"/>
          </w:tcPr>
          <w:p>
            <w:pPr>
              <w:jc w:val="center"/>
              <w:rPr>
                <w:rFonts w:ascii="宋体" w:hAnsi="宋体" w:eastAsia="宋体" w:cs="宋体"/>
                <w:b/>
                <w:bCs/>
                <w:kern w:val="0"/>
                <w:szCs w:val="21"/>
              </w:rPr>
            </w:pPr>
            <w:r>
              <w:rPr>
                <w:rFonts w:hint="eastAsia" w:ascii="宋体" w:hAnsi="宋体" w:eastAsia="宋体" w:cs="宋体"/>
                <w:b/>
                <w:bCs/>
                <w:kern w:val="0"/>
                <w:szCs w:val="21"/>
              </w:rPr>
              <w:t>具体内容</w:t>
            </w:r>
          </w:p>
        </w:tc>
        <w:tc>
          <w:tcPr>
            <w:tcW w:w="0" w:type="auto"/>
            <w:vAlign w:val="center"/>
          </w:tcPr>
          <w:p>
            <w:pPr>
              <w:jc w:val="center"/>
              <w:rPr>
                <w:rFonts w:ascii="宋体" w:hAnsi="宋体" w:eastAsia="宋体" w:cs="宋体"/>
                <w:b/>
                <w:bCs/>
                <w:color w:val="FF0000"/>
                <w:kern w:val="0"/>
                <w:szCs w:val="21"/>
              </w:rPr>
            </w:pPr>
            <w:r>
              <w:rPr>
                <w:rFonts w:hint="eastAsia" w:ascii="宋体" w:hAnsi="宋体" w:eastAsia="宋体" w:cs="宋体"/>
                <w:b/>
                <w:bCs/>
                <w:color w:val="FF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0" w:type="auto"/>
            <w:vMerge w:val="continue"/>
            <w:vAlign w:val="center"/>
          </w:tcPr>
          <w:p>
            <w:pPr>
              <w:jc w:val="center"/>
              <w:rPr>
                <w:rFonts w:ascii="宋体" w:hAnsi="宋体" w:cs="宋体"/>
                <w:b/>
                <w:kern w:val="0"/>
                <w:sz w:val="28"/>
                <w:szCs w:val="28"/>
              </w:rPr>
            </w:pPr>
          </w:p>
        </w:tc>
        <w:tc>
          <w:tcPr>
            <w:tcW w:w="0" w:type="auto"/>
            <w:vAlign w:val="center"/>
          </w:tcPr>
          <w:p>
            <w:pPr>
              <w:rPr>
                <w:rFonts w:ascii="宋体" w:hAnsi="宋体" w:cs="宋体"/>
                <w:b/>
                <w:kern w:val="0"/>
                <w:szCs w:val="21"/>
              </w:rPr>
            </w:pPr>
            <w:r>
              <w:rPr>
                <w:rFonts w:hint="eastAsia" w:ascii="宋体" w:hAnsi="宋体" w:cs="宋体"/>
                <w:b/>
                <w:kern w:val="0"/>
                <w:szCs w:val="21"/>
              </w:rPr>
              <w:t>1</w:t>
            </w:r>
          </w:p>
        </w:tc>
        <w:tc>
          <w:tcPr>
            <w:tcW w:w="0" w:type="auto"/>
            <w:vAlign w:val="center"/>
          </w:tcPr>
          <w:p>
            <w:pPr>
              <w:rPr>
                <w:rFonts w:ascii="宋体" w:hAnsi="宋体" w:cs="宋体"/>
                <w:b/>
                <w:kern w:val="0"/>
                <w:szCs w:val="21"/>
              </w:rPr>
            </w:pPr>
            <w:r>
              <w:rPr>
                <w:rFonts w:hint="eastAsia" w:ascii="宋体" w:hAnsi="宋体"/>
                <w:b/>
                <w:sz w:val="24"/>
              </w:rPr>
              <w:t>※</w:t>
            </w:r>
            <w:r>
              <w:rPr>
                <w:rFonts w:hint="eastAsia" w:ascii="宋体" w:hAnsi="宋体" w:cs="宋体"/>
                <w:b/>
                <w:kern w:val="0"/>
                <w:szCs w:val="21"/>
              </w:rPr>
              <w:t>项目概况</w:t>
            </w:r>
            <w:r>
              <w:rPr>
                <w:rFonts w:hint="eastAsia" w:ascii="宋体" w:hAnsi="宋体" w:cs="宋体"/>
                <w:b/>
                <w:kern w:val="0"/>
                <w:szCs w:val="21"/>
              </w:rPr>
              <w:tab/>
            </w:r>
          </w:p>
        </w:tc>
        <w:tc>
          <w:tcPr>
            <w:tcW w:w="0" w:type="auto"/>
            <w:gridSpan w:val="3"/>
            <w:vAlign w:val="center"/>
          </w:tcPr>
          <w:p>
            <w:pPr>
              <w:rPr>
                <w:highlight w:val="none"/>
              </w:rPr>
            </w:pPr>
            <w:r>
              <w:rPr>
                <w:rFonts w:hint="eastAsia"/>
              </w:rPr>
              <w:t>光明中心区是光明科学城重要的生活服务中心，规划总用地面积8平方公里，现状自然生态资源丰富，主干路网、轨道线交汇，大型公建和科学配套设施集聚，片区规划建设的复杂程度和挑战性高，应通过精细化的设计研究及管控，承接片区法定图则和城市设计的规划理念，对接国土</w:t>
            </w:r>
            <w:r>
              <w:t>空间规划、轨道交通</w:t>
            </w:r>
            <w:r>
              <w:rPr>
                <w:rFonts w:hint="eastAsia"/>
              </w:rPr>
              <w:t>线路</w:t>
            </w:r>
            <w:r>
              <w:t>等新动态，</w:t>
            </w:r>
            <w:r>
              <w:rPr>
                <w:rFonts w:hint="eastAsia"/>
              </w:rPr>
              <w:t>指导推进片区内各类项目高品质、高效率建设运营。</w:t>
            </w:r>
          </w:p>
        </w:tc>
        <w:tc>
          <w:tcPr>
            <w:tcW w:w="0" w:type="auto"/>
            <w:vAlign w:val="center"/>
          </w:tcPr>
          <w:p>
            <w:pPr>
              <w:rPr>
                <w:rFonts w:ascii="宋体" w:hAnsi="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0" w:type="auto"/>
            <w:vMerge w:val="continue"/>
            <w:vAlign w:val="center"/>
          </w:tcPr>
          <w:p>
            <w:pPr>
              <w:jc w:val="center"/>
              <w:rPr>
                <w:rFonts w:ascii="宋体" w:hAnsi="宋体" w:cs="宋体"/>
                <w:b/>
                <w:kern w:val="0"/>
                <w:sz w:val="28"/>
                <w:szCs w:val="28"/>
              </w:rPr>
            </w:pPr>
          </w:p>
        </w:tc>
        <w:tc>
          <w:tcPr>
            <w:tcW w:w="0" w:type="auto"/>
            <w:vAlign w:val="center"/>
          </w:tcPr>
          <w:p>
            <w:pPr>
              <w:rPr>
                <w:rFonts w:ascii="宋体" w:hAnsi="宋体"/>
                <w:b/>
                <w:sz w:val="24"/>
              </w:rPr>
            </w:pPr>
            <w:r>
              <w:rPr>
                <w:rFonts w:hint="eastAsia" w:ascii="宋体" w:hAnsi="宋体"/>
                <w:b/>
                <w:sz w:val="24"/>
              </w:rPr>
              <w:t>2</w:t>
            </w:r>
          </w:p>
        </w:tc>
        <w:tc>
          <w:tcPr>
            <w:tcW w:w="0" w:type="auto"/>
            <w:vAlign w:val="center"/>
          </w:tcPr>
          <w:p>
            <w:pPr>
              <w:rPr>
                <w:rFonts w:ascii="宋体" w:hAnsi="宋体"/>
                <w:b/>
                <w:sz w:val="24"/>
              </w:rPr>
            </w:pPr>
            <w:r>
              <w:rPr>
                <w:rFonts w:hint="eastAsia" w:ascii="宋体" w:hAnsi="宋体"/>
                <w:b/>
                <w:sz w:val="24"/>
              </w:rPr>
              <w:t>※</w:t>
            </w:r>
            <w:r>
              <w:rPr>
                <w:rFonts w:hint="eastAsia" w:ascii="宋体" w:hAnsi="宋体" w:cs="宋体"/>
                <w:b/>
                <w:kern w:val="0"/>
                <w:szCs w:val="21"/>
              </w:rPr>
              <w:t>服务范围</w:t>
            </w:r>
            <w:r>
              <w:rPr>
                <w:rFonts w:hint="eastAsia" w:ascii="宋体" w:hAnsi="宋体" w:cs="宋体"/>
                <w:b/>
                <w:kern w:val="0"/>
                <w:szCs w:val="21"/>
              </w:rPr>
              <w:tab/>
            </w:r>
          </w:p>
        </w:tc>
        <w:tc>
          <w:tcPr>
            <w:tcW w:w="0" w:type="auto"/>
            <w:gridSpan w:val="3"/>
            <w:vAlign w:val="center"/>
          </w:tcPr>
          <w:p>
            <w:pPr>
              <w:rPr>
                <w:rFonts w:ascii="宋体" w:hAnsi="宋体" w:eastAsia="宋体"/>
                <w:szCs w:val="21"/>
              </w:rPr>
            </w:pPr>
            <w:r>
              <w:rPr>
                <w:rFonts w:hint="eastAsia" w:ascii="宋体" w:hAnsi="宋体" w:eastAsia="宋体"/>
                <w:szCs w:val="21"/>
              </w:rPr>
              <w:t>（一）竖向设计规划专题：研究范围为光明中心区范围，总用地面积约818公顷；工作深度为控制性详细规划深度。</w:t>
            </w:r>
          </w:p>
          <w:p>
            <w:pPr>
              <w:pStyle w:val="32"/>
              <w:ind w:firstLine="0" w:firstLineChars="0"/>
              <w:rPr>
                <w:highlight w:val="yellow"/>
              </w:rPr>
            </w:pPr>
            <w:r>
              <w:rPr>
                <w:rFonts w:hint="eastAsia" w:ascii="宋体" w:hAnsi="宋体" w:eastAsia="宋体"/>
                <w:szCs w:val="21"/>
              </w:rPr>
              <w:t>（二）地下空间专项规划：根据工作深度又分为地下空间总体布局规划和重点片区地下空间详细规划。总体布局研究范围为光明中心区，重点片区包括光明站（科学城枢纽）、科学公园等周边地区，具体为公常路—耙塘路—光辉大道—华夏二路—光明大街—光明大道—翠辉路—光侨路—柴山南路围合区域，面积约312公顷。</w:t>
            </w:r>
          </w:p>
        </w:tc>
        <w:tc>
          <w:tcPr>
            <w:tcW w:w="0" w:type="auto"/>
            <w:vAlign w:val="center"/>
          </w:tcPr>
          <w:p>
            <w:pPr>
              <w:rPr>
                <w:rFonts w:ascii="宋体" w:hAnsi="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jc w:val="center"/>
        </w:trPr>
        <w:tc>
          <w:tcPr>
            <w:tcW w:w="0" w:type="auto"/>
            <w:vMerge w:val="continue"/>
            <w:vAlign w:val="center"/>
          </w:tcPr>
          <w:p>
            <w:pPr>
              <w:jc w:val="center"/>
              <w:rPr>
                <w:rFonts w:ascii="宋体" w:hAnsi="宋体" w:cs="宋体"/>
                <w:b/>
                <w:kern w:val="0"/>
                <w:sz w:val="28"/>
                <w:szCs w:val="28"/>
              </w:rPr>
            </w:pPr>
          </w:p>
        </w:tc>
        <w:tc>
          <w:tcPr>
            <w:tcW w:w="0" w:type="auto"/>
            <w:vAlign w:val="center"/>
          </w:tcPr>
          <w:p>
            <w:pPr>
              <w:rPr>
                <w:rFonts w:ascii="宋体" w:hAnsi="宋体"/>
                <w:b/>
                <w:sz w:val="24"/>
              </w:rPr>
            </w:pPr>
            <w:r>
              <w:rPr>
                <w:rFonts w:hint="eastAsia" w:ascii="宋体" w:hAnsi="宋体"/>
                <w:b/>
                <w:sz w:val="24"/>
              </w:rPr>
              <w:t>3</w:t>
            </w:r>
          </w:p>
        </w:tc>
        <w:tc>
          <w:tcPr>
            <w:tcW w:w="0" w:type="auto"/>
            <w:vAlign w:val="center"/>
          </w:tcPr>
          <w:p>
            <w:pPr>
              <w:rPr>
                <w:rFonts w:ascii="宋体" w:hAnsi="宋体"/>
                <w:b/>
                <w:sz w:val="24"/>
              </w:rPr>
            </w:pPr>
            <w:r>
              <w:rPr>
                <w:rFonts w:hint="eastAsia" w:ascii="宋体" w:hAnsi="宋体"/>
                <w:b/>
                <w:sz w:val="24"/>
              </w:rPr>
              <w:t>※</w:t>
            </w:r>
            <w:r>
              <w:rPr>
                <w:rFonts w:hint="eastAsia" w:ascii="宋体" w:hAnsi="宋体" w:cs="宋体"/>
                <w:b/>
                <w:kern w:val="0"/>
                <w:szCs w:val="21"/>
              </w:rPr>
              <w:t>服务内容</w:t>
            </w:r>
            <w:r>
              <w:rPr>
                <w:rFonts w:hint="eastAsia" w:ascii="宋体" w:hAnsi="宋体" w:cs="宋体"/>
                <w:kern w:val="0"/>
                <w:szCs w:val="21"/>
              </w:rPr>
              <w:tab/>
            </w:r>
          </w:p>
        </w:tc>
        <w:tc>
          <w:tcPr>
            <w:tcW w:w="0" w:type="auto"/>
            <w:gridSpan w:val="3"/>
            <w:vAlign w:val="center"/>
          </w:tcPr>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包括竖向设计</w:t>
            </w:r>
            <w:r>
              <w:rPr>
                <w:rFonts w:cs="宋体" w:asciiTheme="minorEastAsia" w:hAnsiTheme="minorEastAsia"/>
                <w:bCs/>
                <w:szCs w:val="21"/>
              </w:rPr>
              <w:t>专题研究</w:t>
            </w:r>
            <w:r>
              <w:rPr>
                <w:rFonts w:hint="eastAsia" w:cs="宋体" w:asciiTheme="minorEastAsia" w:hAnsiTheme="minorEastAsia"/>
                <w:bCs/>
                <w:szCs w:val="21"/>
              </w:rPr>
              <w:t>和地下空间专项规划两大部分工作，</w:t>
            </w:r>
            <w:r>
              <w:rPr>
                <w:rFonts w:cs="宋体" w:asciiTheme="minorEastAsia" w:hAnsiTheme="minorEastAsia"/>
                <w:bCs/>
                <w:szCs w:val="21"/>
              </w:rPr>
              <w:t>其中</w:t>
            </w:r>
            <w:r>
              <w:rPr>
                <w:rFonts w:hint="eastAsia" w:cs="宋体" w:asciiTheme="minorEastAsia" w:hAnsiTheme="minorEastAsia"/>
                <w:bCs/>
                <w:szCs w:val="21"/>
              </w:rPr>
              <w:t>：</w:t>
            </w:r>
          </w:p>
          <w:p>
            <w:pPr>
              <w:snapToGrid w:val="0"/>
              <w:spacing w:before="156" w:beforeLines="50" w:after="156" w:afterLines="50"/>
              <w:ind w:firstLine="420" w:firstLineChars="200"/>
              <w:rPr>
                <w:rFonts w:cs="宋体" w:asciiTheme="minorEastAsia" w:hAnsiTheme="minorEastAsia"/>
                <w:bCs/>
                <w:szCs w:val="21"/>
              </w:rPr>
            </w:pPr>
            <w:r>
              <w:rPr>
                <w:rFonts w:cs="宋体" w:asciiTheme="minorEastAsia" w:hAnsiTheme="minorEastAsia"/>
                <w:bCs/>
                <w:szCs w:val="21"/>
              </w:rPr>
              <w:t>1.竖向</w:t>
            </w:r>
            <w:r>
              <w:rPr>
                <w:rFonts w:hint="eastAsia" w:cs="宋体" w:asciiTheme="minorEastAsia" w:hAnsiTheme="minorEastAsia"/>
                <w:bCs/>
                <w:szCs w:val="21"/>
              </w:rPr>
              <w:t>设计专题</w:t>
            </w:r>
            <w:r>
              <w:rPr>
                <w:rFonts w:cs="宋体" w:asciiTheme="minorEastAsia" w:hAnsiTheme="minorEastAsia"/>
                <w:bCs/>
                <w:szCs w:val="21"/>
              </w:rPr>
              <w:t>研究</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在法定图则和城市设计基础上，梳理、评估片区自然地形特点、建筑物及各类交通设施之间的高程关系以及地面排水组织、地下管线敷设要求等，对全区场地道路竖向布置、土方工程及相关经济技术指标提出方案和规划建设要求。</w:t>
            </w:r>
          </w:p>
          <w:p>
            <w:pPr>
              <w:snapToGrid w:val="0"/>
              <w:spacing w:before="156" w:beforeLines="50" w:after="156" w:afterLines="50"/>
              <w:ind w:firstLine="420" w:firstLineChars="200"/>
              <w:rPr>
                <w:rFonts w:cs="宋体" w:asciiTheme="minorEastAsia" w:hAnsiTheme="minorEastAsia"/>
                <w:bCs/>
                <w:szCs w:val="21"/>
              </w:rPr>
            </w:pPr>
            <w:r>
              <w:rPr>
                <w:rFonts w:cs="宋体" w:asciiTheme="minorEastAsia" w:hAnsiTheme="minorEastAsia"/>
                <w:bCs/>
                <w:szCs w:val="21"/>
              </w:rPr>
              <w:t>2.地下空间专项规划</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对片区地下空间现状条件、开发利用需求和战略、规模和布局等进行系统研究，重点对地下空间开发、地下综合交通系统、</w:t>
            </w:r>
            <w:r>
              <w:rPr>
                <w:rFonts w:cs="宋体" w:asciiTheme="minorEastAsia" w:hAnsiTheme="minorEastAsia"/>
                <w:bCs/>
                <w:szCs w:val="21"/>
              </w:rPr>
              <w:t>地下市政设施</w:t>
            </w:r>
            <w:r>
              <w:rPr>
                <w:rFonts w:hint="eastAsia" w:cs="宋体" w:asciiTheme="minorEastAsia" w:hAnsiTheme="minorEastAsia"/>
                <w:bCs/>
                <w:szCs w:val="21"/>
              </w:rPr>
              <w:t>等问题进行分析，衔接用地规划许可、建筑方案审查等审批要求，提出开发建设指引条件，构建综合完善的地下空间系统，具体包括以下内容：</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（1）现状分析与评估</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摸查和梳理光明</w:t>
            </w:r>
            <w:r>
              <w:rPr>
                <w:rFonts w:cs="宋体" w:asciiTheme="minorEastAsia" w:hAnsiTheme="minorEastAsia"/>
                <w:bCs/>
                <w:szCs w:val="21"/>
              </w:rPr>
              <w:t>中心区</w:t>
            </w:r>
            <w:r>
              <w:rPr>
                <w:rFonts w:hint="eastAsia" w:cs="宋体" w:asciiTheme="minorEastAsia" w:hAnsiTheme="minorEastAsia"/>
                <w:bCs/>
                <w:szCs w:val="21"/>
              </w:rPr>
              <w:t>的现状情况，对</w:t>
            </w:r>
            <w:r>
              <w:rPr>
                <w:rFonts w:cs="宋体" w:asciiTheme="minorEastAsia" w:hAnsiTheme="minorEastAsia"/>
                <w:bCs/>
                <w:szCs w:val="21"/>
              </w:rPr>
              <w:t>光明中</w:t>
            </w:r>
            <w:r>
              <w:rPr>
                <w:rFonts w:hint="eastAsia" w:cs="宋体" w:asciiTheme="minorEastAsia" w:hAnsiTheme="minorEastAsia"/>
                <w:bCs/>
                <w:szCs w:val="21"/>
              </w:rPr>
              <w:t>心</w:t>
            </w:r>
            <w:r>
              <w:rPr>
                <w:rFonts w:cs="宋体" w:asciiTheme="minorEastAsia" w:hAnsiTheme="minorEastAsia"/>
                <w:bCs/>
                <w:szCs w:val="21"/>
              </w:rPr>
              <w:t>区的现状</w:t>
            </w:r>
            <w:r>
              <w:rPr>
                <w:rFonts w:hint="eastAsia" w:cs="宋体" w:asciiTheme="minorEastAsia" w:hAnsiTheme="minorEastAsia"/>
                <w:bCs/>
                <w:szCs w:val="21"/>
              </w:rPr>
              <w:t>建筑</w:t>
            </w:r>
            <w:r>
              <w:rPr>
                <w:rFonts w:cs="宋体" w:asciiTheme="minorEastAsia" w:hAnsiTheme="minorEastAsia"/>
                <w:bCs/>
                <w:szCs w:val="21"/>
              </w:rPr>
              <w:t>、设施</w:t>
            </w:r>
            <w:r>
              <w:rPr>
                <w:rFonts w:hint="eastAsia" w:cs="宋体" w:asciiTheme="minorEastAsia" w:hAnsiTheme="minorEastAsia"/>
                <w:bCs/>
                <w:szCs w:val="21"/>
              </w:rPr>
              <w:t>、交通</w:t>
            </w:r>
            <w:r>
              <w:rPr>
                <w:rFonts w:cs="宋体" w:asciiTheme="minorEastAsia" w:hAnsiTheme="minorEastAsia"/>
                <w:bCs/>
                <w:szCs w:val="21"/>
              </w:rPr>
              <w:t>系统、土地利用等情况进行</w:t>
            </w:r>
            <w:r>
              <w:rPr>
                <w:rFonts w:hint="eastAsia" w:cs="宋体" w:asciiTheme="minorEastAsia" w:hAnsiTheme="minorEastAsia"/>
                <w:bCs/>
                <w:szCs w:val="21"/>
              </w:rPr>
              <w:t>系统性</w:t>
            </w:r>
            <w:r>
              <w:rPr>
                <w:rFonts w:cs="宋体" w:asciiTheme="minorEastAsia" w:hAnsiTheme="minorEastAsia"/>
                <w:bCs/>
                <w:szCs w:val="21"/>
              </w:rPr>
              <w:t>的分析与评估</w:t>
            </w:r>
            <w:r>
              <w:rPr>
                <w:rFonts w:hint="eastAsia" w:cs="宋体" w:asciiTheme="minorEastAsia" w:hAnsiTheme="minorEastAsia"/>
                <w:bCs/>
                <w:szCs w:val="21"/>
              </w:rPr>
              <w:t>。</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（2）规划解读与分析</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搜集和整理所涉及的各层次相关规划资料，对接</w:t>
            </w:r>
            <w:r>
              <w:rPr>
                <w:rFonts w:cs="宋体" w:asciiTheme="minorEastAsia" w:hAnsiTheme="minorEastAsia"/>
                <w:bCs/>
                <w:szCs w:val="21"/>
              </w:rPr>
              <w:t>法定图则、</w:t>
            </w:r>
            <w:r>
              <w:rPr>
                <w:rFonts w:hint="eastAsia" w:cs="宋体" w:asciiTheme="minorEastAsia" w:hAnsiTheme="minorEastAsia"/>
                <w:bCs/>
                <w:szCs w:val="21"/>
              </w:rPr>
              <w:t xml:space="preserve"> 城市</w:t>
            </w:r>
            <w:r>
              <w:rPr>
                <w:rFonts w:cs="宋体" w:asciiTheme="minorEastAsia" w:hAnsiTheme="minorEastAsia"/>
                <w:bCs/>
                <w:szCs w:val="21"/>
              </w:rPr>
              <w:t>设计、国土空间规划等上层次规划要求，</w:t>
            </w:r>
            <w:r>
              <w:rPr>
                <w:rFonts w:hint="eastAsia" w:cs="宋体" w:asciiTheme="minorEastAsia" w:hAnsiTheme="minorEastAsia"/>
                <w:bCs/>
                <w:szCs w:val="21"/>
              </w:rPr>
              <w:t>识别并梳理对本项目有指导意义及可实施性强的规划内容，并进行</w:t>
            </w:r>
            <w:r>
              <w:rPr>
                <w:rFonts w:cs="宋体" w:asciiTheme="minorEastAsia" w:hAnsiTheme="minorEastAsia"/>
                <w:bCs/>
                <w:szCs w:val="21"/>
              </w:rPr>
              <w:t>详细的解读与分析。</w:t>
            </w:r>
            <w:r>
              <w:rPr>
                <w:rFonts w:hint="eastAsia" w:cs="宋体" w:asciiTheme="minorEastAsia" w:hAnsiTheme="minorEastAsia"/>
                <w:bCs/>
                <w:szCs w:val="21"/>
              </w:rPr>
              <w:t xml:space="preserve"> </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（3）地下空间资源评估与需求分析</w:t>
            </w:r>
          </w:p>
          <w:p>
            <w:pPr>
              <w:snapToGrid w:val="0"/>
              <w:spacing w:before="156" w:beforeLines="50" w:after="156" w:afterLines="50"/>
              <w:ind w:firstLine="420" w:firstLineChars="200"/>
              <w:rPr>
                <w:rFonts w:cs="宋体" w:asciiTheme="minorEastAsia" w:hAnsiTheme="minorEastAsia"/>
                <w:bCs/>
                <w:szCs w:val="21"/>
              </w:rPr>
            </w:pPr>
            <w:r>
              <w:rPr>
                <w:rFonts w:cs="宋体" w:asciiTheme="minorEastAsia" w:hAnsiTheme="minorEastAsia"/>
                <w:bCs/>
                <w:szCs w:val="21"/>
              </w:rPr>
              <w:t>梳理地下空间资源分布情况，结合</w:t>
            </w:r>
            <w:r>
              <w:rPr>
                <w:rFonts w:hint="eastAsia" w:cs="宋体" w:asciiTheme="minorEastAsia" w:hAnsiTheme="minorEastAsia"/>
                <w:bCs/>
                <w:szCs w:val="21"/>
              </w:rPr>
              <w:t>光明中心区</w:t>
            </w:r>
            <w:r>
              <w:rPr>
                <w:rFonts w:cs="宋体" w:asciiTheme="minorEastAsia" w:hAnsiTheme="minorEastAsia"/>
                <w:bCs/>
                <w:szCs w:val="21"/>
              </w:rPr>
              <w:t>地下空间需求，考虑地下空间实施与</w:t>
            </w:r>
            <w:r>
              <w:rPr>
                <w:rFonts w:hint="eastAsia" w:cs="宋体" w:asciiTheme="minorEastAsia" w:hAnsiTheme="minorEastAsia"/>
                <w:bCs/>
                <w:szCs w:val="21"/>
              </w:rPr>
              <w:t>城市</w:t>
            </w:r>
            <w:r>
              <w:rPr>
                <w:rFonts w:cs="宋体" w:asciiTheme="minorEastAsia" w:hAnsiTheme="minorEastAsia"/>
                <w:bCs/>
                <w:szCs w:val="21"/>
              </w:rPr>
              <w:t>建筑、</w:t>
            </w:r>
            <w:r>
              <w:rPr>
                <w:rFonts w:hint="eastAsia" w:cs="宋体" w:asciiTheme="minorEastAsia" w:hAnsiTheme="minorEastAsia"/>
                <w:bCs/>
                <w:szCs w:val="21"/>
              </w:rPr>
              <w:t>城际</w:t>
            </w:r>
            <w:r>
              <w:rPr>
                <w:rFonts w:cs="宋体" w:asciiTheme="minorEastAsia" w:hAnsiTheme="minorEastAsia"/>
                <w:bCs/>
                <w:szCs w:val="21"/>
              </w:rPr>
              <w:t>铁路</w:t>
            </w:r>
            <w:r>
              <w:rPr>
                <w:rFonts w:hint="eastAsia" w:cs="宋体" w:asciiTheme="minorEastAsia" w:hAnsiTheme="minorEastAsia"/>
                <w:bCs/>
                <w:szCs w:val="21"/>
              </w:rPr>
              <w:t>、</w:t>
            </w:r>
            <w:r>
              <w:rPr>
                <w:rFonts w:cs="宋体" w:asciiTheme="minorEastAsia" w:hAnsiTheme="minorEastAsia"/>
                <w:bCs/>
                <w:szCs w:val="21"/>
              </w:rPr>
              <w:t>城市地铁、综合管廊、城市开发</w:t>
            </w:r>
            <w:r>
              <w:rPr>
                <w:rFonts w:hint="eastAsia" w:cs="宋体" w:asciiTheme="minorEastAsia" w:hAnsiTheme="minorEastAsia"/>
                <w:bCs/>
                <w:szCs w:val="21"/>
              </w:rPr>
              <w:t>、</w:t>
            </w:r>
            <w:r>
              <w:rPr>
                <w:rFonts w:cs="宋体" w:asciiTheme="minorEastAsia" w:hAnsiTheme="minorEastAsia"/>
                <w:bCs/>
                <w:szCs w:val="21"/>
              </w:rPr>
              <w:t>土地利用等之间关系，</w:t>
            </w:r>
            <w:r>
              <w:rPr>
                <w:rFonts w:hint="eastAsia" w:cs="宋体" w:asciiTheme="minorEastAsia" w:hAnsiTheme="minorEastAsia"/>
                <w:bCs/>
                <w:szCs w:val="21"/>
              </w:rPr>
              <w:t>与</w:t>
            </w:r>
            <w:r>
              <w:rPr>
                <w:rFonts w:cs="宋体" w:asciiTheme="minorEastAsia" w:hAnsiTheme="minorEastAsia"/>
                <w:bCs/>
                <w:szCs w:val="21"/>
              </w:rPr>
              <w:t>国土空间规划</w:t>
            </w:r>
            <w:r>
              <w:rPr>
                <w:rFonts w:hint="eastAsia" w:cs="宋体" w:asciiTheme="minorEastAsia" w:hAnsiTheme="minorEastAsia"/>
                <w:bCs/>
                <w:szCs w:val="21"/>
              </w:rPr>
              <w:t>充分衔接</w:t>
            </w:r>
            <w:r>
              <w:rPr>
                <w:rFonts w:cs="宋体" w:asciiTheme="minorEastAsia" w:hAnsiTheme="minorEastAsia"/>
                <w:bCs/>
                <w:szCs w:val="21"/>
              </w:rPr>
              <w:t>，对</w:t>
            </w:r>
            <w:r>
              <w:rPr>
                <w:rFonts w:hint="eastAsia" w:cs="宋体" w:asciiTheme="minorEastAsia" w:hAnsiTheme="minorEastAsia"/>
                <w:bCs/>
                <w:szCs w:val="21"/>
              </w:rPr>
              <w:t>光明中心区</w:t>
            </w:r>
            <w:r>
              <w:rPr>
                <w:rFonts w:cs="宋体" w:asciiTheme="minorEastAsia" w:hAnsiTheme="minorEastAsia"/>
                <w:bCs/>
                <w:szCs w:val="21"/>
              </w:rPr>
              <w:t>地下空间开发的可行性和开发潜力进行全方位评估</w:t>
            </w:r>
            <w:r>
              <w:rPr>
                <w:rFonts w:hint="eastAsia" w:cs="宋体" w:asciiTheme="minorEastAsia" w:hAnsiTheme="minorEastAsia"/>
                <w:bCs/>
                <w:szCs w:val="21"/>
              </w:rPr>
              <w:t>，</w:t>
            </w:r>
            <w:r>
              <w:rPr>
                <w:rFonts w:cs="宋体" w:asciiTheme="minorEastAsia" w:hAnsiTheme="minorEastAsia"/>
                <w:bCs/>
                <w:szCs w:val="21"/>
              </w:rPr>
              <w:t>明确</w:t>
            </w:r>
            <w:r>
              <w:rPr>
                <w:rFonts w:hint="eastAsia" w:cs="宋体" w:asciiTheme="minorEastAsia" w:hAnsiTheme="minorEastAsia"/>
                <w:bCs/>
                <w:szCs w:val="21"/>
              </w:rPr>
              <w:t>地下空间总体开发需求。</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（4）规划目标与策略</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提出地下空间开发总体目标和分项目标，明确片区地下空间整体综合开发利用思路及开发策略。</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（5）地下空间总体布局规划</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研究地下空间发展模式，确定地下空间总体结构和各类型</w:t>
            </w:r>
            <w:r>
              <w:rPr>
                <w:rFonts w:cs="宋体" w:asciiTheme="minorEastAsia" w:hAnsiTheme="minorEastAsia"/>
                <w:bCs/>
                <w:szCs w:val="21"/>
              </w:rPr>
              <w:t>地下空间布局方案</w:t>
            </w:r>
            <w:r>
              <w:rPr>
                <w:rFonts w:hint="eastAsia" w:cs="宋体" w:asciiTheme="minorEastAsia" w:hAnsiTheme="minorEastAsia"/>
                <w:bCs/>
                <w:szCs w:val="21"/>
              </w:rPr>
              <w:t>，明确地下空间开发功能及控制要求，构建片区立体空间系统。</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（6）重点</w:t>
            </w:r>
            <w:r>
              <w:rPr>
                <w:rFonts w:cs="宋体" w:asciiTheme="minorEastAsia" w:hAnsiTheme="minorEastAsia"/>
                <w:bCs/>
                <w:szCs w:val="21"/>
              </w:rPr>
              <w:t>片区</w:t>
            </w:r>
            <w:r>
              <w:rPr>
                <w:rFonts w:hint="eastAsia" w:cs="宋体" w:asciiTheme="minorEastAsia" w:hAnsiTheme="minorEastAsia"/>
                <w:bCs/>
                <w:szCs w:val="21"/>
              </w:rPr>
              <w:t>地下空间详细规划</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针对地下</w:t>
            </w:r>
            <w:r>
              <w:rPr>
                <w:rFonts w:cs="宋体" w:asciiTheme="minorEastAsia" w:hAnsiTheme="minorEastAsia"/>
                <w:bCs/>
                <w:szCs w:val="21"/>
              </w:rPr>
              <w:t>空间重点研究范围，</w:t>
            </w:r>
            <w:r>
              <w:rPr>
                <w:rFonts w:hint="eastAsia" w:cs="宋体" w:asciiTheme="minorEastAsia" w:hAnsiTheme="minorEastAsia"/>
                <w:bCs/>
                <w:szCs w:val="21"/>
              </w:rPr>
              <w:t>以地下空间总体布局规划为基础，以</w:t>
            </w:r>
            <w:r>
              <w:rPr>
                <w:rFonts w:cs="宋体" w:asciiTheme="minorEastAsia" w:hAnsiTheme="minorEastAsia"/>
                <w:bCs/>
                <w:szCs w:val="21"/>
              </w:rPr>
              <w:t>建筑、</w:t>
            </w:r>
            <w:r>
              <w:rPr>
                <w:rFonts w:hint="eastAsia" w:cs="宋体" w:asciiTheme="minorEastAsia" w:hAnsiTheme="minorEastAsia"/>
                <w:bCs/>
                <w:szCs w:val="21"/>
              </w:rPr>
              <w:t>交通、</w:t>
            </w:r>
            <w:r>
              <w:rPr>
                <w:rFonts w:cs="宋体" w:asciiTheme="minorEastAsia" w:hAnsiTheme="minorEastAsia"/>
                <w:bCs/>
                <w:szCs w:val="21"/>
              </w:rPr>
              <w:t>景观</w:t>
            </w:r>
            <w:r>
              <w:rPr>
                <w:rFonts w:hint="eastAsia" w:cs="宋体" w:asciiTheme="minorEastAsia" w:hAnsiTheme="minorEastAsia"/>
                <w:bCs/>
                <w:szCs w:val="21"/>
              </w:rPr>
              <w:t>、市政</w:t>
            </w:r>
            <w:r>
              <w:rPr>
                <w:rFonts w:cs="宋体" w:asciiTheme="minorEastAsia" w:hAnsiTheme="minorEastAsia"/>
                <w:bCs/>
                <w:szCs w:val="21"/>
              </w:rPr>
              <w:t>工程</w:t>
            </w:r>
            <w:r>
              <w:rPr>
                <w:rFonts w:hint="eastAsia" w:cs="宋体" w:asciiTheme="minorEastAsia" w:hAnsiTheme="minorEastAsia"/>
                <w:bCs/>
                <w:szCs w:val="21"/>
              </w:rPr>
              <w:t>等为</w:t>
            </w:r>
            <w:r>
              <w:rPr>
                <w:rFonts w:cs="宋体" w:asciiTheme="minorEastAsia" w:hAnsiTheme="minorEastAsia"/>
                <w:bCs/>
                <w:szCs w:val="21"/>
              </w:rPr>
              <w:t>基础，</w:t>
            </w:r>
            <w:r>
              <w:rPr>
                <w:rFonts w:hint="eastAsia" w:cs="宋体" w:asciiTheme="minorEastAsia" w:hAnsiTheme="minorEastAsia"/>
                <w:bCs/>
                <w:szCs w:val="21"/>
              </w:rPr>
              <w:t>开展地下空间概念方案设计，总体包括总平面设计、竖向设计、</w:t>
            </w:r>
            <w:r>
              <w:rPr>
                <w:rFonts w:cs="宋体" w:asciiTheme="minorEastAsia" w:hAnsiTheme="minorEastAsia"/>
                <w:bCs/>
                <w:szCs w:val="21"/>
              </w:rPr>
              <w:t>接口设计</w:t>
            </w:r>
            <w:r>
              <w:rPr>
                <w:rFonts w:hint="eastAsia" w:cs="宋体" w:asciiTheme="minorEastAsia" w:hAnsiTheme="minorEastAsia"/>
                <w:bCs/>
                <w:szCs w:val="21"/>
              </w:rPr>
              <w:t>、剖面设计、地下步行通道流线组织、地下空间开发方案等，可指导具体项目开发建设和工程设计。</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（7）地下空间开发导则与指引</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对公共功能的地下空间及与周边地块地下空间利用等提出设计导则，提出相应控制指标和下阶段设计准则，以指导周边用地方案设计和设施（含接口）预留，做好地下空间与周边相关用地的协调，保障地下空间落地实施。</w:t>
            </w:r>
          </w:p>
          <w:p>
            <w:pPr>
              <w:snapToGrid w:val="0"/>
              <w:spacing w:before="156" w:beforeLines="50" w:after="156" w:afterLines="50"/>
              <w:ind w:firstLine="420" w:firstLineChars="200"/>
              <w:rPr>
                <w:rFonts w:cs="宋体" w:asciiTheme="minorEastAsia" w:hAnsiTheme="minorEastAsia"/>
                <w:bCs/>
                <w:szCs w:val="21"/>
              </w:rPr>
            </w:pPr>
            <w:r>
              <w:rPr>
                <w:rFonts w:hint="eastAsia" w:cs="宋体" w:asciiTheme="minorEastAsia" w:hAnsiTheme="minorEastAsia"/>
                <w:bCs/>
                <w:szCs w:val="21"/>
              </w:rPr>
              <w:t>（8）实施保障措施</w:t>
            </w:r>
          </w:p>
          <w:p>
            <w:pPr>
              <w:rPr>
                <w:highlight w:val="yellow"/>
              </w:rPr>
            </w:pPr>
            <w:r>
              <w:rPr>
                <w:rFonts w:hint="eastAsia" w:cs="宋体" w:asciiTheme="minorEastAsia" w:hAnsiTheme="minorEastAsia"/>
                <w:bCs/>
                <w:szCs w:val="21"/>
              </w:rPr>
              <w:t>结合地下空间规划和</w:t>
            </w:r>
            <w:r>
              <w:rPr>
                <w:rFonts w:cs="宋体" w:asciiTheme="minorEastAsia" w:hAnsiTheme="minorEastAsia"/>
                <w:bCs/>
                <w:szCs w:val="21"/>
              </w:rPr>
              <w:t>开发</w:t>
            </w:r>
            <w:r>
              <w:rPr>
                <w:rFonts w:hint="eastAsia" w:cs="宋体" w:asciiTheme="minorEastAsia" w:hAnsiTheme="minorEastAsia"/>
                <w:bCs/>
                <w:szCs w:val="21"/>
              </w:rPr>
              <w:t>导则</w:t>
            </w:r>
            <w:r>
              <w:rPr>
                <w:rFonts w:cs="宋体" w:asciiTheme="minorEastAsia" w:hAnsiTheme="minorEastAsia"/>
                <w:bCs/>
                <w:szCs w:val="21"/>
              </w:rPr>
              <w:t>，</w:t>
            </w:r>
            <w:r>
              <w:rPr>
                <w:rFonts w:hint="eastAsia" w:cs="宋体" w:asciiTheme="minorEastAsia" w:hAnsiTheme="minorEastAsia"/>
                <w:bCs/>
                <w:szCs w:val="21"/>
              </w:rPr>
              <w:t>提出地下空间</w:t>
            </w:r>
            <w:r>
              <w:rPr>
                <w:rFonts w:cs="宋体" w:asciiTheme="minorEastAsia" w:hAnsiTheme="minorEastAsia"/>
                <w:bCs/>
                <w:szCs w:val="21"/>
              </w:rPr>
              <w:t>开发</w:t>
            </w:r>
            <w:r>
              <w:rPr>
                <w:rFonts w:hint="eastAsia" w:cs="宋体" w:asciiTheme="minorEastAsia" w:hAnsiTheme="minorEastAsia"/>
                <w:bCs/>
                <w:szCs w:val="21"/>
              </w:rPr>
              <w:t>建设</w:t>
            </w:r>
            <w:r>
              <w:rPr>
                <w:rFonts w:cs="宋体" w:asciiTheme="minorEastAsia" w:hAnsiTheme="minorEastAsia"/>
                <w:bCs/>
                <w:szCs w:val="21"/>
              </w:rPr>
              <w:t>模式、</w:t>
            </w:r>
            <w:r>
              <w:rPr>
                <w:rFonts w:hint="eastAsia" w:cs="宋体" w:asciiTheme="minorEastAsia" w:hAnsiTheme="minorEastAsia"/>
                <w:bCs/>
                <w:szCs w:val="21"/>
              </w:rPr>
              <w:t>建设</w:t>
            </w:r>
            <w:r>
              <w:rPr>
                <w:rFonts w:cs="宋体" w:asciiTheme="minorEastAsia" w:hAnsiTheme="minorEastAsia"/>
                <w:bCs/>
                <w:szCs w:val="21"/>
              </w:rPr>
              <w:t>时序、</w:t>
            </w:r>
            <w:r>
              <w:rPr>
                <w:rFonts w:hint="eastAsia" w:cs="宋体" w:asciiTheme="minorEastAsia" w:hAnsiTheme="minorEastAsia"/>
                <w:bCs/>
                <w:szCs w:val="21"/>
              </w:rPr>
              <w:t>开发</w:t>
            </w:r>
            <w:r>
              <w:rPr>
                <w:rFonts w:cs="宋体" w:asciiTheme="minorEastAsia" w:hAnsiTheme="minorEastAsia"/>
                <w:bCs/>
                <w:szCs w:val="21"/>
              </w:rPr>
              <w:t>建设机制</w:t>
            </w:r>
            <w:r>
              <w:rPr>
                <w:rFonts w:hint="eastAsia" w:cs="宋体" w:asciiTheme="minorEastAsia" w:hAnsiTheme="minorEastAsia"/>
                <w:bCs/>
                <w:szCs w:val="21"/>
              </w:rPr>
              <w:t>及</w:t>
            </w:r>
            <w:r>
              <w:rPr>
                <w:rFonts w:cs="宋体" w:asciiTheme="minorEastAsia" w:hAnsiTheme="minorEastAsia"/>
                <w:bCs/>
                <w:szCs w:val="21"/>
              </w:rPr>
              <w:t>规划管控</w:t>
            </w:r>
            <w:r>
              <w:rPr>
                <w:rFonts w:hint="eastAsia" w:cs="宋体" w:asciiTheme="minorEastAsia" w:hAnsiTheme="minorEastAsia"/>
                <w:bCs/>
                <w:szCs w:val="21"/>
              </w:rPr>
              <w:t>等</w:t>
            </w:r>
            <w:r>
              <w:rPr>
                <w:rFonts w:cs="宋体" w:asciiTheme="minorEastAsia" w:hAnsiTheme="minorEastAsia"/>
                <w:bCs/>
                <w:szCs w:val="21"/>
              </w:rPr>
              <w:t>相关建议</w:t>
            </w:r>
            <w:r>
              <w:rPr>
                <w:rFonts w:hint="eastAsia" w:cs="宋体" w:asciiTheme="minorEastAsia" w:hAnsiTheme="minorEastAsia"/>
                <w:bCs/>
                <w:szCs w:val="21"/>
              </w:rPr>
              <w:t>。</w:t>
            </w:r>
          </w:p>
        </w:tc>
        <w:tc>
          <w:tcPr>
            <w:tcW w:w="0" w:type="auto"/>
            <w:vAlign w:val="center"/>
          </w:tcPr>
          <w:p>
            <w:pPr>
              <w:rPr>
                <w:rFonts w:ascii="宋体" w:hAnsi="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0" w:type="auto"/>
            <w:vMerge w:val="continue"/>
            <w:vAlign w:val="center"/>
          </w:tcPr>
          <w:p>
            <w:pPr>
              <w:jc w:val="center"/>
              <w:rPr>
                <w:rFonts w:ascii="宋体" w:hAnsi="宋体" w:cs="宋体"/>
                <w:b/>
                <w:kern w:val="0"/>
                <w:sz w:val="28"/>
                <w:szCs w:val="28"/>
              </w:rPr>
            </w:pPr>
          </w:p>
        </w:tc>
        <w:tc>
          <w:tcPr>
            <w:tcW w:w="0" w:type="auto"/>
            <w:vAlign w:val="center"/>
          </w:tcPr>
          <w:p>
            <w:pPr>
              <w:rPr>
                <w:rFonts w:ascii="宋体" w:hAnsi="宋体"/>
                <w:b/>
                <w:sz w:val="24"/>
              </w:rPr>
            </w:pPr>
            <w:r>
              <w:rPr>
                <w:rFonts w:hint="eastAsia" w:ascii="宋体" w:hAnsi="宋体"/>
                <w:b/>
                <w:sz w:val="24"/>
              </w:rPr>
              <w:t>4</w:t>
            </w:r>
          </w:p>
        </w:tc>
        <w:tc>
          <w:tcPr>
            <w:tcW w:w="0" w:type="auto"/>
            <w:vAlign w:val="center"/>
          </w:tcPr>
          <w:p>
            <w:pPr>
              <w:rPr>
                <w:rFonts w:ascii="宋体" w:hAnsi="宋体" w:cs="宋体"/>
                <w:b/>
                <w:kern w:val="0"/>
                <w:szCs w:val="21"/>
              </w:rPr>
            </w:pPr>
            <w:r>
              <w:rPr>
                <w:rFonts w:hint="eastAsia" w:ascii="宋体" w:hAnsi="宋体"/>
                <w:b/>
                <w:sz w:val="24"/>
              </w:rPr>
              <w:t>※</w:t>
            </w:r>
            <w:r>
              <w:rPr>
                <w:rFonts w:hint="eastAsia" w:ascii="宋体" w:hAnsi="宋体" w:cs="宋体"/>
                <w:b/>
                <w:kern w:val="0"/>
                <w:szCs w:val="21"/>
              </w:rPr>
              <w:t>服务期限</w:t>
            </w:r>
          </w:p>
        </w:tc>
        <w:tc>
          <w:tcPr>
            <w:tcW w:w="0" w:type="auto"/>
            <w:gridSpan w:val="3"/>
            <w:vAlign w:val="center"/>
          </w:tcPr>
          <w:p>
            <w:pPr>
              <w:rPr>
                <w:rFonts w:ascii="宋体" w:hAnsi="宋体"/>
                <w:b/>
                <w:szCs w:val="21"/>
              </w:rPr>
            </w:pPr>
            <w:r>
              <w:rPr>
                <w:rFonts w:hint="eastAsia" w:ascii="宋体" w:hAnsi="宋体"/>
                <w:b/>
                <w:szCs w:val="21"/>
              </w:rPr>
              <w:t>项目服务期限为 6 个月</w:t>
            </w:r>
          </w:p>
        </w:tc>
        <w:tc>
          <w:tcPr>
            <w:tcW w:w="0" w:type="auto"/>
            <w:vAlign w:val="center"/>
          </w:tcPr>
          <w:p>
            <w:pPr>
              <w:rPr>
                <w:rFonts w:ascii="宋体" w:hAnsi="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0" w:type="auto"/>
            <w:vMerge w:val="continue"/>
            <w:vAlign w:val="center"/>
          </w:tcPr>
          <w:p>
            <w:pPr>
              <w:jc w:val="center"/>
              <w:rPr>
                <w:rFonts w:ascii="宋体" w:hAnsi="宋体" w:cs="宋体"/>
                <w:b/>
                <w:kern w:val="0"/>
                <w:sz w:val="28"/>
                <w:szCs w:val="28"/>
              </w:rPr>
            </w:pPr>
          </w:p>
        </w:tc>
        <w:tc>
          <w:tcPr>
            <w:tcW w:w="0" w:type="auto"/>
            <w:vAlign w:val="center"/>
          </w:tcPr>
          <w:p>
            <w:pPr>
              <w:rPr>
                <w:rFonts w:ascii="宋体" w:hAnsi="宋体"/>
                <w:b/>
                <w:sz w:val="24"/>
              </w:rPr>
            </w:pPr>
            <w:r>
              <w:rPr>
                <w:rFonts w:hint="eastAsia" w:ascii="宋体" w:hAnsi="宋体"/>
                <w:b/>
                <w:sz w:val="24"/>
              </w:rPr>
              <w:t>5</w:t>
            </w:r>
          </w:p>
        </w:tc>
        <w:tc>
          <w:tcPr>
            <w:tcW w:w="0" w:type="auto"/>
            <w:vAlign w:val="center"/>
          </w:tcPr>
          <w:p>
            <w:pPr>
              <w:rPr>
                <w:rFonts w:ascii="宋体" w:hAnsi="宋体"/>
                <w:b/>
                <w:sz w:val="24"/>
              </w:rPr>
            </w:pPr>
            <w:r>
              <w:rPr>
                <w:rFonts w:hint="eastAsia" w:ascii="宋体" w:hAnsi="宋体"/>
                <w:b/>
                <w:sz w:val="24"/>
              </w:rPr>
              <w:t>人员要求</w:t>
            </w:r>
          </w:p>
        </w:tc>
        <w:tc>
          <w:tcPr>
            <w:tcW w:w="0" w:type="auto"/>
            <w:gridSpan w:val="3"/>
            <w:vAlign w:val="center"/>
          </w:tcPr>
          <w:p>
            <w:pPr>
              <w:rPr>
                <w:rFonts w:ascii="宋体" w:hAnsi="宋体"/>
                <w:b/>
                <w:szCs w:val="21"/>
              </w:rPr>
            </w:pPr>
            <w:r>
              <w:rPr>
                <w:rFonts w:hint="eastAsia" w:ascii="宋体" w:hAnsi="宋体"/>
                <w:b/>
                <w:szCs w:val="21"/>
              </w:rPr>
              <w:t>1、项目负责人：必须为城市（乡）规划专业副高级或以上职称技术人员。</w:t>
            </w:r>
          </w:p>
          <w:p>
            <w:pPr>
              <w:rPr>
                <w:rFonts w:ascii="宋体" w:hAnsi="宋体"/>
                <w:b/>
                <w:color w:val="FF0000"/>
                <w:sz w:val="24"/>
              </w:rPr>
            </w:pPr>
            <w:r>
              <w:rPr>
                <w:rFonts w:hint="eastAsia" w:ascii="宋体" w:hAnsi="宋体"/>
                <w:b/>
                <w:szCs w:val="21"/>
              </w:rPr>
              <w:t>2、项目组成员（除项目负责人外）不少于</w:t>
            </w:r>
            <w:r>
              <w:rPr>
                <w:rFonts w:ascii="宋体" w:hAnsi="宋体"/>
                <w:b/>
                <w:szCs w:val="21"/>
              </w:rPr>
              <w:t>10</w:t>
            </w:r>
            <w:r>
              <w:rPr>
                <w:rFonts w:hint="eastAsia" w:ascii="宋体" w:hAnsi="宋体"/>
                <w:b/>
                <w:szCs w:val="21"/>
              </w:rPr>
              <w:t>人(含</w:t>
            </w:r>
            <w:r>
              <w:rPr>
                <w:rFonts w:ascii="宋体" w:hAnsi="宋体"/>
                <w:b/>
                <w:szCs w:val="21"/>
              </w:rPr>
              <w:t>10</w:t>
            </w:r>
            <w:r>
              <w:rPr>
                <w:rFonts w:hint="eastAsia" w:ascii="宋体" w:hAnsi="宋体"/>
                <w:b/>
                <w:szCs w:val="21"/>
              </w:rPr>
              <w:t>人)。</w:t>
            </w:r>
          </w:p>
        </w:tc>
        <w:tc>
          <w:tcPr>
            <w:tcW w:w="0" w:type="auto"/>
            <w:vAlign w:val="center"/>
          </w:tcPr>
          <w:p>
            <w:pPr>
              <w:rPr>
                <w:rFonts w:ascii="宋体" w:hAnsi="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0" w:type="auto"/>
            <w:vMerge w:val="continue"/>
            <w:vAlign w:val="center"/>
          </w:tcPr>
          <w:p>
            <w:pPr>
              <w:jc w:val="center"/>
              <w:rPr>
                <w:rFonts w:ascii="宋体" w:hAnsi="宋体" w:cs="宋体"/>
                <w:b/>
                <w:kern w:val="0"/>
                <w:sz w:val="28"/>
                <w:szCs w:val="28"/>
              </w:rPr>
            </w:pPr>
          </w:p>
        </w:tc>
        <w:tc>
          <w:tcPr>
            <w:tcW w:w="0" w:type="auto"/>
            <w:vAlign w:val="center"/>
          </w:tcPr>
          <w:p>
            <w:pPr>
              <w:rPr>
                <w:rFonts w:ascii="宋体" w:hAnsi="宋体"/>
                <w:b/>
                <w:sz w:val="24"/>
              </w:rPr>
            </w:pPr>
            <w:r>
              <w:rPr>
                <w:rFonts w:ascii="宋体" w:hAnsi="宋体"/>
                <w:b/>
                <w:sz w:val="24"/>
              </w:rPr>
              <w:t>6</w:t>
            </w:r>
          </w:p>
        </w:tc>
        <w:tc>
          <w:tcPr>
            <w:tcW w:w="0" w:type="auto"/>
            <w:vAlign w:val="center"/>
          </w:tcPr>
          <w:p>
            <w:pPr>
              <w:rPr>
                <w:rFonts w:ascii="宋体" w:hAnsi="宋体"/>
                <w:b/>
                <w:sz w:val="24"/>
              </w:rPr>
            </w:pPr>
            <w:r>
              <w:rPr>
                <w:rFonts w:hint="eastAsia" w:ascii="宋体" w:hAnsi="宋体" w:cs="宋体"/>
                <w:kern w:val="0"/>
                <w:szCs w:val="21"/>
              </w:rPr>
              <w:t>成果要求</w:t>
            </w:r>
          </w:p>
        </w:tc>
        <w:tc>
          <w:tcPr>
            <w:tcW w:w="0" w:type="auto"/>
            <w:gridSpan w:val="3"/>
            <w:vAlign w:val="center"/>
          </w:tcPr>
          <w:p>
            <w:r>
              <w:rPr>
                <w:rFonts w:hint="eastAsia"/>
                <w:szCs w:val="21"/>
              </w:rPr>
              <w:t>按照有关规定，结合法定图则、城市设计等规划系统研究，提出竖向设计和地下空间总体布局规划、</w:t>
            </w:r>
            <w:r>
              <w:rPr>
                <w:rFonts w:hint="eastAsia" w:ascii="宋体" w:hAnsi="宋体"/>
                <w:bCs/>
              </w:rPr>
              <w:t>开发导则与指引</w:t>
            </w:r>
          </w:p>
          <w:p>
            <w:pPr>
              <w:rPr>
                <w:rFonts w:ascii="宋体" w:hAnsi="宋体"/>
                <w:b/>
                <w:sz w:val="24"/>
              </w:rPr>
            </w:pPr>
            <w:r>
              <w:rPr>
                <w:rFonts w:hint="eastAsia"/>
                <w:szCs w:val="21"/>
              </w:rPr>
              <w:t>等内容。提交成果（含纸质文件和电子文件）应能满足采购方汇报、评审等各阶段工作需要。成果内容包括但不限于</w:t>
            </w:r>
            <w:r>
              <w:rPr>
                <w:rFonts w:hint="eastAsia" w:ascii="宋体" w:hAnsi="宋体" w:eastAsia="宋体"/>
                <w:szCs w:val="21"/>
              </w:rPr>
              <w:t>研究报告及相关图纸、汇报演示系统和电子文件。最终提交的成果为</w:t>
            </w:r>
            <w:r>
              <w:rPr>
                <w:rFonts w:hint="eastAsia"/>
                <w:szCs w:val="21"/>
              </w:rPr>
              <w:t xml:space="preserve">纸质文件成果 </w:t>
            </w:r>
            <w:r>
              <w:rPr>
                <w:szCs w:val="21"/>
              </w:rPr>
              <w:t>8</w:t>
            </w:r>
            <w:r>
              <w:rPr>
                <w:rFonts w:hint="eastAsia"/>
                <w:szCs w:val="21"/>
              </w:rPr>
              <w:t xml:space="preserve"> 套，电子文件成果（光盘）2 套。</w:t>
            </w:r>
          </w:p>
        </w:tc>
        <w:tc>
          <w:tcPr>
            <w:tcW w:w="0" w:type="auto"/>
            <w:vAlign w:val="center"/>
          </w:tcPr>
          <w:p>
            <w:pPr>
              <w:rPr>
                <w:rFonts w:ascii="宋体" w:hAnsi="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vAlign w:val="center"/>
          </w:tcPr>
          <w:p>
            <w:pPr>
              <w:jc w:val="center"/>
              <w:rPr>
                <w:rFonts w:ascii="宋体" w:hAnsi="宋体" w:cs="宋体"/>
                <w:b/>
                <w:kern w:val="0"/>
                <w:sz w:val="28"/>
                <w:szCs w:val="28"/>
              </w:rPr>
            </w:pPr>
          </w:p>
        </w:tc>
        <w:tc>
          <w:tcPr>
            <w:tcW w:w="0" w:type="auto"/>
            <w:vAlign w:val="center"/>
          </w:tcPr>
          <w:p>
            <w:pPr>
              <w:rPr>
                <w:rFonts w:ascii="宋体" w:hAnsi="宋体"/>
                <w:b/>
                <w:sz w:val="24"/>
              </w:rPr>
            </w:pPr>
            <w:r>
              <w:rPr>
                <w:rFonts w:ascii="宋体" w:hAnsi="宋体"/>
                <w:b/>
                <w:sz w:val="24"/>
              </w:rPr>
              <w:t>7</w:t>
            </w:r>
          </w:p>
        </w:tc>
        <w:tc>
          <w:tcPr>
            <w:tcW w:w="0" w:type="auto"/>
            <w:vAlign w:val="center"/>
          </w:tcPr>
          <w:p>
            <w:pPr>
              <w:rPr>
                <w:rFonts w:ascii="宋体" w:hAnsi="宋体"/>
                <w:b/>
                <w:sz w:val="24"/>
              </w:rPr>
            </w:pPr>
            <w:r>
              <w:rPr>
                <w:rFonts w:hint="eastAsia" w:ascii="宋体" w:hAnsi="宋体" w:cs="宋体"/>
                <w:kern w:val="0"/>
                <w:szCs w:val="21"/>
              </w:rPr>
              <w:t>其他要求</w:t>
            </w:r>
          </w:p>
        </w:tc>
        <w:tc>
          <w:tcPr>
            <w:tcW w:w="0" w:type="auto"/>
            <w:gridSpan w:val="3"/>
            <w:vAlign w:val="center"/>
          </w:tcPr>
          <w:p>
            <w:pPr>
              <w:autoSpaceDE w:val="0"/>
              <w:autoSpaceDN w:val="0"/>
              <w:adjustRightInd w:val="0"/>
              <w:spacing w:line="288" w:lineRule="auto"/>
              <w:jc w:val="left"/>
              <w:rPr>
                <w:rFonts w:ascii="宋体" w:cs="宋体"/>
                <w:b/>
                <w:bCs/>
                <w:kern w:val="0"/>
                <w:szCs w:val="21"/>
              </w:rPr>
            </w:pPr>
            <w:r>
              <w:rPr>
                <w:rFonts w:hint="eastAsia" w:ascii="宋体" w:cs="宋体"/>
                <w:b/>
                <w:bCs/>
                <w:kern w:val="0"/>
                <w:szCs w:val="21"/>
              </w:rPr>
              <w:t>1.技术要求</w:t>
            </w:r>
          </w:p>
          <w:p>
            <w:pPr>
              <w:autoSpaceDE w:val="0"/>
              <w:autoSpaceDN w:val="0"/>
              <w:adjustRightInd w:val="0"/>
              <w:spacing w:line="288" w:lineRule="auto"/>
              <w:jc w:val="left"/>
              <w:rPr>
                <w:rFonts w:ascii="宋体" w:cs="宋体"/>
                <w:kern w:val="0"/>
                <w:szCs w:val="21"/>
              </w:rPr>
            </w:pPr>
            <w:r>
              <w:rPr>
                <w:rFonts w:hint="eastAsia" w:ascii="宋体" w:cs="宋体"/>
                <w:kern w:val="0"/>
                <w:szCs w:val="21"/>
              </w:rPr>
              <w:t>（1）项目编制过程中应当进行深入调查研究，掌握相关联的规划及其它必要的相关信息和基础资料；</w:t>
            </w:r>
          </w:p>
          <w:p>
            <w:pPr>
              <w:autoSpaceDE w:val="0"/>
              <w:autoSpaceDN w:val="0"/>
              <w:adjustRightInd w:val="0"/>
              <w:spacing w:line="288" w:lineRule="auto"/>
              <w:jc w:val="left"/>
              <w:rPr>
                <w:rFonts w:ascii="宋体" w:cs="宋体"/>
                <w:kern w:val="0"/>
                <w:szCs w:val="21"/>
              </w:rPr>
            </w:pPr>
            <w:r>
              <w:rPr>
                <w:rFonts w:hint="eastAsia" w:ascii="宋体" w:cs="宋体"/>
                <w:kern w:val="0"/>
                <w:szCs w:val="21"/>
              </w:rPr>
              <w:t>（2）研究工作开展之前应结合对项目的理解，剖析项目的难点和重点，制定完成该项目工作计划和工作方案；</w:t>
            </w:r>
          </w:p>
          <w:p>
            <w:pPr>
              <w:autoSpaceDE w:val="0"/>
              <w:autoSpaceDN w:val="0"/>
              <w:adjustRightInd w:val="0"/>
              <w:spacing w:line="288" w:lineRule="auto"/>
              <w:jc w:val="left"/>
              <w:rPr>
                <w:rFonts w:ascii="宋体" w:cs="宋体"/>
                <w:kern w:val="0"/>
                <w:szCs w:val="21"/>
              </w:rPr>
            </w:pPr>
            <w:r>
              <w:rPr>
                <w:rFonts w:hint="eastAsia" w:ascii="宋体" w:cs="宋体"/>
                <w:kern w:val="0"/>
                <w:szCs w:val="21"/>
              </w:rPr>
              <w:t>（3）研究工作应遵循思路开阔、方法科学、手段先进、观点明确、结论可操作性强等原则；</w:t>
            </w:r>
          </w:p>
          <w:p>
            <w:pPr>
              <w:autoSpaceDE w:val="0"/>
              <w:autoSpaceDN w:val="0"/>
              <w:adjustRightInd w:val="0"/>
              <w:spacing w:line="288" w:lineRule="auto"/>
              <w:jc w:val="left"/>
              <w:rPr>
                <w:rFonts w:ascii="宋体" w:cs="宋体"/>
                <w:kern w:val="0"/>
                <w:szCs w:val="21"/>
              </w:rPr>
            </w:pPr>
            <w:r>
              <w:rPr>
                <w:rFonts w:hint="eastAsia" w:ascii="宋体" w:cs="宋体"/>
                <w:kern w:val="0"/>
                <w:szCs w:val="21"/>
              </w:rPr>
              <w:t>（4）研究报告书应做到文字流畅、思路清晰、逻辑性强、数据详实可靠、图表规范清晰。</w:t>
            </w:r>
          </w:p>
          <w:p>
            <w:pPr>
              <w:autoSpaceDE w:val="0"/>
              <w:autoSpaceDN w:val="0"/>
              <w:adjustRightInd w:val="0"/>
              <w:spacing w:line="288" w:lineRule="auto"/>
              <w:jc w:val="left"/>
              <w:rPr>
                <w:rFonts w:ascii="宋体" w:cs="宋体"/>
                <w:b/>
                <w:bCs/>
                <w:kern w:val="0"/>
                <w:szCs w:val="21"/>
              </w:rPr>
            </w:pPr>
            <w:r>
              <w:rPr>
                <w:rFonts w:hint="eastAsia" w:ascii="宋体" w:cs="宋体"/>
                <w:b/>
                <w:bCs/>
                <w:kern w:val="0"/>
                <w:szCs w:val="21"/>
              </w:rPr>
              <w:t>2.项目管理要求</w:t>
            </w:r>
          </w:p>
          <w:p>
            <w:pPr>
              <w:autoSpaceDE w:val="0"/>
              <w:autoSpaceDN w:val="0"/>
              <w:adjustRightInd w:val="0"/>
              <w:jc w:val="left"/>
              <w:rPr>
                <w:rFonts w:ascii="宋体" w:cs="宋体"/>
                <w:kern w:val="0"/>
                <w:szCs w:val="21"/>
              </w:rPr>
            </w:pPr>
            <w:r>
              <w:rPr>
                <w:rFonts w:hint="eastAsia" w:ascii="宋体" w:cs="宋体"/>
                <w:kern w:val="0"/>
                <w:szCs w:val="21"/>
              </w:rPr>
              <w:t>（</w:t>
            </w:r>
            <w:r>
              <w:rPr>
                <w:rFonts w:ascii="宋体" w:cs="宋体"/>
                <w:kern w:val="0"/>
                <w:szCs w:val="21"/>
              </w:rPr>
              <w:t>1</w:t>
            </w:r>
            <w:r>
              <w:rPr>
                <w:rFonts w:hint="eastAsia" w:ascii="宋体" w:cs="宋体"/>
                <w:kern w:val="0"/>
                <w:szCs w:val="21"/>
              </w:rPr>
              <w:t>）为确保本招标项目管理规范、实施有力，中标方应成立相应项目组，项目组按采购单位要求完成研究成果。</w:t>
            </w:r>
          </w:p>
          <w:p>
            <w:pPr>
              <w:autoSpaceDE w:val="0"/>
              <w:autoSpaceDN w:val="0"/>
              <w:adjustRightInd w:val="0"/>
              <w:jc w:val="left"/>
              <w:rPr>
                <w:rFonts w:ascii="宋体" w:cs="宋体"/>
                <w:kern w:val="0"/>
                <w:szCs w:val="21"/>
              </w:rPr>
            </w:pPr>
            <w:r>
              <w:rPr>
                <w:rFonts w:hint="eastAsia" w:ascii="宋体" w:cs="宋体"/>
                <w:kern w:val="0"/>
                <w:szCs w:val="21"/>
              </w:rPr>
              <w:t>（</w:t>
            </w:r>
            <w:r>
              <w:rPr>
                <w:rFonts w:ascii="宋体" w:cs="宋体"/>
                <w:kern w:val="0"/>
                <w:szCs w:val="21"/>
              </w:rPr>
              <w:t>2</w:t>
            </w:r>
            <w:r>
              <w:rPr>
                <w:rFonts w:hint="eastAsia" w:ascii="宋体" w:cs="宋体"/>
                <w:kern w:val="0"/>
                <w:szCs w:val="21"/>
              </w:rPr>
              <w:t>）中标方须配合采购方组织、举办本项目各工作阶段的汇报、审查、研讨、公开展示及公众咨询等工作，并负责解答相关的问题。</w:t>
            </w:r>
          </w:p>
          <w:p>
            <w:pPr>
              <w:autoSpaceDE w:val="0"/>
              <w:autoSpaceDN w:val="0"/>
              <w:adjustRightInd w:val="0"/>
              <w:jc w:val="left"/>
              <w:rPr>
                <w:rFonts w:ascii="宋体" w:cs="宋体"/>
                <w:kern w:val="0"/>
                <w:szCs w:val="21"/>
              </w:rPr>
            </w:pPr>
            <w:r>
              <w:rPr>
                <w:rFonts w:hint="eastAsia" w:ascii="宋体" w:cs="宋体"/>
                <w:kern w:val="0"/>
                <w:szCs w:val="21"/>
              </w:rPr>
              <w:t>（</w:t>
            </w:r>
            <w:r>
              <w:rPr>
                <w:rFonts w:ascii="宋体" w:cs="宋体"/>
                <w:kern w:val="0"/>
                <w:szCs w:val="21"/>
              </w:rPr>
              <w:t>3</w:t>
            </w:r>
            <w:r>
              <w:rPr>
                <w:rFonts w:hint="eastAsia" w:ascii="宋体" w:cs="宋体"/>
                <w:kern w:val="0"/>
                <w:szCs w:val="21"/>
              </w:rPr>
              <w:t>）中标方需按采购方的招标技术及时间要求完成相应工作成果，工作成果全部提交后，采购方再进行项目最终验收。</w:t>
            </w:r>
          </w:p>
          <w:p>
            <w:pPr>
              <w:rPr>
                <w:rFonts w:ascii="宋体" w:hAnsi="宋体"/>
                <w:b/>
                <w:sz w:val="24"/>
              </w:rPr>
            </w:pPr>
            <w:r>
              <w:rPr>
                <w:rFonts w:hint="eastAsia" w:ascii="宋体" w:cs="宋体"/>
                <w:kern w:val="0"/>
                <w:szCs w:val="21"/>
              </w:rPr>
              <w:t>（4）中标方项目组成员应按采购方的要求参加本项目审查和讨论的全部工作会议。</w:t>
            </w:r>
          </w:p>
        </w:tc>
        <w:tc>
          <w:tcPr>
            <w:tcW w:w="0" w:type="auto"/>
            <w:vAlign w:val="center"/>
          </w:tcPr>
          <w:p>
            <w:pPr>
              <w:rPr>
                <w:rFonts w:ascii="宋体" w:hAnsi="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0" w:type="auto"/>
            <w:vMerge w:val="continue"/>
            <w:vAlign w:val="center"/>
          </w:tcPr>
          <w:p>
            <w:pPr>
              <w:jc w:val="center"/>
              <w:rPr>
                <w:rFonts w:ascii="宋体" w:hAnsi="宋体" w:cs="宋体"/>
                <w:b/>
                <w:kern w:val="0"/>
                <w:sz w:val="28"/>
                <w:szCs w:val="28"/>
              </w:rPr>
            </w:pPr>
          </w:p>
        </w:tc>
        <w:tc>
          <w:tcPr>
            <w:tcW w:w="0" w:type="auto"/>
            <w:vMerge w:val="restart"/>
            <w:vAlign w:val="center"/>
          </w:tcPr>
          <w:p>
            <w:pPr>
              <w:rPr>
                <w:rFonts w:ascii="宋体" w:hAnsi="宋体"/>
                <w:b/>
                <w:sz w:val="24"/>
              </w:rPr>
            </w:pPr>
            <w:r>
              <w:rPr>
                <w:rFonts w:ascii="宋体" w:hAnsi="宋体"/>
                <w:b/>
                <w:sz w:val="24"/>
              </w:rPr>
              <w:t>8</w:t>
            </w:r>
          </w:p>
        </w:tc>
        <w:tc>
          <w:tcPr>
            <w:tcW w:w="0" w:type="auto"/>
            <w:vMerge w:val="restart"/>
            <w:vAlign w:val="center"/>
          </w:tcPr>
          <w:p>
            <w:pPr>
              <w:rPr>
                <w:rFonts w:ascii="宋体" w:hAnsi="宋体"/>
                <w:b/>
                <w:sz w:val="24"/>
              </w:rPr>
            </w:pPr>
            <w:r>
              <w:rPr>
                <w:rFonts w:hint="eastAsia" w:ascii="宋体" w:hAnsi="宋体"/>
                <w:b/>
                <w:sz w:val="24"/>
              </w:rPr>
              <w:t>技术资料</w:t>
            </w:r>
          </w:p>
        </w:tc>
        <w:tc>
          <w:tcPr>
            <w:tcW w:w="0" w:type="auto"/>
            <w:gridSpan w:val="2"/>
            <w:vAlign w:val="center"/>
          </w:tcPr>
          <w:p>
            <w:pPr>
              <w:rPr>
                <w:rFonts w:ascii="宋体" w:hAnsi="宋体"/>
                <w:b/>
                <w:sz w:val="24"/>
              </w:rPr>
            </w:pPr>
            <w:r>
              <w:rPr>
                <w:rFonts w:hint="eastAsia" w:ascii="宋体" w:hAnsi="宋体"/>
                <w:b/>
                <w:sz w:val="24"/>
              </w:rPr>
              <w:t>标准描述</w:t>
            </w:r>
          </w:p>
        </w:tc>
        <w:tc>
          <w:tcPr>
            <w:tcW w:w="0" w:type="auto"/>
            <w:vAlign w:val="center"/>
          </w:tcPr>
          <w:p>
            <w:pPr>
              <w:rPr>
                <w:rFonts w:ascii="宋体" w:hAnsi="宋体"/>
                <w:b/>
                <w:sz w:val="24"/>
              </w:rPr>
            </w:pPr>
            <w:r>
              <w:rPr>
                <w:rFonts w:hint="eastAsia" w:ascii="宋体" w:hAnsi="宋体"/>
                <w:bCs/>
                <w:szCs w:val="21"/>
              </w:rPr>
              <w:t>本项目所必须的技术资料，由供应商自行说明。</w:t>
            </w:r>
          </w:p>
        </w:tc>
        <w:tc>
          <w:tcPr>
            <w:tcW w:w="0" w:type="auto"/>
            <w:vAlign w:val="center"/>
          </w:tcPr>
          <w:p>
            <w:pPr>
              <w:rPr>
                <w:rFonts w:ascii="宋体" w:hAnsi="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0" w:type="auto"/>
            <w:vMerge w:val="continue"/>
            <w:vAlign w:val="center"/>
          </w:tcPr>
          <w:p>
            <w:pPr>
              <w:jc w:val="center"/>
              <w:rPr>
                <w:rFonts w:ascii="宋体" w:hAnsi="宋体" w:cs="宋体"/>
                <w:b/>
                <w:kern w:val="0"/>
                <w:sz w:val="28"/>
                <w:szCs w:val="28"/>
              </w:rPr>
            </w:pPr>
          </w:p>
        </w:tc>
        <w:tc>
          <w:tcPr>
            <w:tcW w:w="0" w:type="auto"/>
            <w:vMerge w:val="continue"/>
            <w:vAlign w:val="center"/>
          </w:tcPr>
          <w:p>
            <w:pPr>
              <w:rPr>
                <w:rFonts w:ascii="宋体" w:hAnsi="宋体"/>
                <w:b/>
                <w:sz w:val="24"/>
              </w:rPr>
            </w:pPr>
          </w:p>
        </w:tc>
        <w:tc>
          <w:tcPr>
            <w:tcW w:w="0" w:type="auto"/>
            <w:vMerge w:val="continue"/>
            <w:vAlign w:val="center"/>
          </w:tcPr>
          <w:p>
            <w:pPr>
              <w:rPr>
                <w:rFonts w:ascii="宋体" w:hAnsi="宋体"/>
                <w:b/>
                <w:sz w:val="24"/>
              </w:rPr>
            </w:pPr>
          </w:p>
        </w:tc>
        <w:tc>
          <w:tcPr>
            <w:tcW w:w="0" w:type="auto"/>
            <w:vAlign w:val="center"/>
          </w:tcPr>
          <w:p>
            <w:pPr>
              <w:rPr>
                <w:rFonts w:ascii="宋体" w:hAnsi="宋体"/>
                <w:b/>
                <w:sz w:val="24"/>
              </w:rPr>
            </w:pPr>
            <w:r>
              <w:rPr>
                <w:rFonts w:hint="eastAsia" w:ascii="宋体" w:hAnsi="宋体"/>
                <w:b/>
                <w:sz w:val="24"/>
              </w:rPr>
              <w:t>特别要求</w:t>
            </w:r>
          </w:p>
        </w:tc>
        <w:tc>
          <w:tcPr>
            <w:tcW w:w="0" w:type="auto"/>
            <w:vAlign w:val="center"/>
          </w:tcPr>
          <w:p>
            <w:pPr>
              <w:jc w:val="left"/>
              <w:rPr>
                <w:rFonts w:ascii="宋体" w:hAnsi="宋体"/>
                <w:b/>
                <w:sz w:val="24"/>
              </w:rPr>
            </w:pPr>
            <w:r>
              <w:rPr>
                <w:rFonts w:ascii="Segoe UI Symbol" w:hAnsi="Segoe UI Symbol" w:eastAsia="MS Mincho" w:cs="Segoe UI Symbol"/>
                <w:szCs w:val="21"/>
              </w:rPr>
              <w:t>☑</w:t>
            </w:r>
            <w:r>
              <w:rPr>
                <w:rFonts w:hint="eastAsia" w:ascii="宋体" w:hAnsi="宋体"/>
                <w:bCs/>
                <w:szCs w:val="21"/>
              </w:rPr>
              <w:t>无□有</w:t>
            </w:r>
          </w:p>
        </w:tc>
        <w:tc>
          <w:tcPr>
            <w:tcW w:w="0" w:type="auto"/>
            <w:vAlign w:val="center"/>
          </w:tcPr>
          <w:p>
            <w:pPr>
              <w:rPr>
                <w:rFonts w:ascii="宋体" w:hAnsi="宋体"/>
                <w:b/>
                <w:sz w:val="24"/>
              </w:rPr>
            </w:pPr>
            <w:r>
              <w:rPr>
                <w:rFonts w:hint="eastAsia" w:ascii="宋体" w:hAnsi="宋体" w:cs="宋体"/>
                <w:b/>
                <w:kern w:val="0"/>
                <w:szCs w:val="21"/>
                <w:u w:val="single"/>
              </w:rPr>
              <w:t>指引：</w:t>
            </w:r>
            <w:r>
              <w:rPr>
                <w:rFonts w:hint="eastAsia" w:ascii="宋体" w:hAnsi="宋体" w:cs="宋体"/>
                <w:b/>
                <w:kern w:val="0"/>
                <w:szCs w:val="21"/>
              </w:rPr>
              <w:t>采购单位如有特别要求可更改技术资料要求的描述，否则采用标准描述。</w:t>
            </w:r>
          </w:p>
        </w:tc>
        <w:tc>
          <w:tcPr>
            <w:tcW w:w="0" w:type="auto"/>
            <w:vAlign w:val="center"/>
          </w:tcPr>
          <w:p>
            <w:pPr>
              <w:rPr>
                <w:rFonts w:ascii="宋体" w:hAnsi="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0" w:type="auto"/>
            <w:vMerge w:val="continue"/>
            <w:vAlign w:val="center"/>
          </w:tcPr>
          <w:p>
            <w:pPr>
              <w:jc w:val="center"/>
              <w:rPr>
                <w:rFonts w:ascii="宋体" w:hAnsi="宋体" w:cs="宋体"/>
                <w:b/>
                <w:kern w:val="0"/>
                <w:sz w:val="28"/>
                <w:szCs w:val="28"/>
              </w:rPr>
            </w:pPr>
          </w:p>
        </w:tc>
        <w:tc>
          <w:tcPr>
            <w:tcW w:w="0" w:type="auto"/>
            <w:gridSpan w:val="6"/>
            <w:vAlign w:val="center"/>
          </w:tcPr>
          <w:p>
            <w:pPr>
              <w:rPr>
                <w:rFonts w:ascii="宋体" w:hAnsi="宋体" w:eastAsia="宋体" w:cs="宋体"/>
                <w:b/>
                <w:color w:val="FF0000"/>
                <w:kern w:val="0"/>
                <w:szCs w:val="21"/>
              </w:rPr>
            </w:pPr>
            <w:r>
              <w:rPr>
                <w:rFonts w:hint="eastAsia" w:ascii="宋体" w:hAnsi="宋体" w:cs="宋体"/>
                <w:b/>
                <w:bCs/>
                <w:color w:val="FF0000"/>
                <w:kern w:val="0"/>
                <w:szCs w:val="21"/>
              </w:rPr>
              <w:t>注</w:t>
            </w:r>
            <w:r>
              <w:rPr>
                <w:rFonts w:hint="eastAsia" w:ascii="宋体" w:hAnsi="宋体" w:cs="宋体"/>
                <w:b/>
                <w:bCs/>
                <w:kern w:val="0"/>
                <w:szCs w:val="21"/>
              </w:rPr>
              <w:t>：1.根据《光明区管委会落实&lt;2018年“深圳蓝”可持续行动&gt;工作目标责任书》“强化机动车排气污染防治力度”要求，“</w:t>
            </w:r>
            <w:r>
              <w:rPr>
                <w:rFonts w:ascii="宋体" w:hAnsi="宋体" w:eastAsia="宋体" w:cs="宋体"/>
                <w:b/>
                <w:color w:val="FF0000"/>
                <w:kern w:val="0"/>
                <w:szCs w:val="21"/>
              </w:rPr>
              <w:t>对外包环卫清扫和清运标段，推广纯电动环卫车。2018年5月1日起，对重新招标标段所使用的环卫车，4.5吨及以下的全部更换为纯电动环卫车，4.5吨以上的不少于30%更换为纯电动环卫车</w:t>
            </w:r>
            <w:r>
              <w:rPr>
                <w:rFonts w:hint="eastAsia" w:ascii="宋体" w:hAnsi="宋体" w:eastAsia="宋体" w:cs="宋体"/>
                <w:b/>
                <w:kern w:val="0"/>
                <w:szCs w:val="21"/>
              </w:rPr>
              <w:t>”</w:t>
            </w:r>
            <w:r>
              <w:rPr>
                <w:rFonts w:hint="eastAsia" w:ascii="宋体" w:hAnsi="宋体" w:eastAsia="宋体" w:cs="宋体"/>
                <w:b/>
                <w:color w:val="FF0000"/>
                <w:kern w:val="0"/>
                <w:szCs w:val="21"/>
              </w:rPr>
              <w:t>；</w:t>
            </w:r>
            <w:r>
              <w:rPr>
                <w:rFonts w:hint="eastAsia" w:ascii="宋体" w:hAnsi="宋体" w:eastAsia="宋体" w:cs="宋体"/>
                <w:b/>
                <w:kern w:val="0"/>
                <w:szCs w:val="21"/>
              </w:rPr>
              <w:t>根据《深光发财〔2018〕609号光明新区发展和财政局转发推广纯电动环卫车应用有关要求的通知》的要求，“</w:t>
            </w:r>
            <w:r>
              <w:rPr>
                <w:rFonts w:hint="eastAsia" w:ascii="宋体" w:hAnsi="宋体" w:eastAsia="宋体" w:cs="宋体"/>
                <w:b/>
                <w:color w:val="FF0000"/>
                <w:kern w:val="0"/>
                <w:szCs w:val="21"/>
              </w:rPr>
              <w:t>2018年5月起，各区对重新招标标段所使用的环卫车，除垃圾清运类勾臂车外的全部车辆更换为纯电动车”。</w:t>
            </w:r>
            <w:r>
              <w:rPr>
                <w:rFonts w:ascii="宋体" w:hAnsi="宋体" w:eastAsia="宋体" w:cs="宋体"/>
                <w:b/>
                <w:color w:val="FF0000"/>
                <w:kern w:val="0"/>
                <w:szCs w:val="21"/>
              </w:rPr>
              <w:t xml:space="preserve"> </w:t>
            </w:r>
          </w:p>
          <w:p>
            <w:pPr>
              <w:rPr>
                <w:rFonts w:ascii="宋体" w:hAnsi="宋体" w:cs="宋体"/>
                <w:b/>
                <w:bCs/>
                <w:color w:val="FF0000"/>
                <w:kern w:val="0"/>
                <w:szCs w:val="21"/>
              </w:rPr>
            </w:pPr>
            <w:r>
              <w:rPr>
                <w:rFonts w:hint="eastAsia" w:ascii="宋体" w:hAnsi="宋体" w:eastAsia="宋体" w:cs="宋体"/>
                <w:b/>
                <w:kern w:val="0"/>
                <w:szCs w:val="21"/>
              </w:rPr>
              <w:t>2.根据《光明区环境保护和水务局关于落实&lt;低挥发性有机物含量涂料技术规范&gt;有关要求的通知》</w:t>
            </w:r>
            <w:r>
              <w:rPr>
                <w:rFonts w:hint="eastAsia" w:ascii="宋体" w:hAnsi="宋体" w:cs="宋体"/>
                <w:b/>
                <w:bCs/>
                <w:kern w:val="0"/>
                <w:szCs w:val="21"/>
              </w:rPr>
              <w:t>“</w:t>
            </w:r>
            <w:r>
              <w:rPr>
                <w:rFonts w:hint="eastAsia" w:ascii="宋体" w:hAnsi="宋体" w:eastAsia="宋体" w:cs="宋体"/>
                <w:b/>
                <w:color w:val="FF0000"/>
                <w:kern w:val="0"/>
                <w:szCs w:val="21"/>
              </w:rPr>
              <w:t>限制高挥发性有机物含量产品参与招标采购</w:t>
            </w:r>
            <w:r>
              <w:rPr>
                <w:rFonts w:hint="eastAsia" w:ascii="宋体" w:hAnsi="宋体" w:cs="宋体"/>
                <w:b/>
                <w:bCs/>
                <w:kern w:val="0"/>
                <w:szCs w:val="21"/>
              </w:rPr>
              <w:t>”要求，确保符合《低挥发性有机物含量涂料技术规范（SZJG 54-2017）》，要求区各级政府部门采购项目中必须采购使用低挥发性有机物含量涂料生产的办公家具</w:t>
            </w:r>
            <w:r>
              <w:rPr>
                <w:rFonts w:hint="eastAsia" w:ascii="宋体" w:hAnsi="宋体" w:cs="宋体"/>
                <w:b/>
                <w:bCs/>
                <w:color w:val="FF0000"/>
                <w:kern w:val="0"/>
                <w:szCs w:val="21"/>
              </w:rPr>
              <w:t>。</w:t>
            </w:r>
          </w:p>
          <w:p>
            <w:pPr>
              <w:rPr>
                <w:rFonts w:ascii="宋体" w:hAnsi="宋体"/>
                <w:b/>
                <w:color w:val="FF0000"/>
                <w:sz w:val="24"/>
              </w:rPr>
            </w:pPr>
            <w:r>
              <w:rPr>
                <w:rFonts w:hint="eastAsia" w:ascii="宋体" w:hAnsi="宋体" w:cs="宋体"/>
                <w:b/>
                <w:bCs/>
                <w:color w:val="FF0000"/>
                <w:kern w:val="0"/>
                <w:szCs w:val="21"/>
              </w:rPr>
              <w:t>3.</w:t>
            </w:r>
            <w:r>
              <w:rPr>
                <w:rFonts w:hint="eastAsia" w:ascii="宋体" w:hAnsi="宋体" w:cs="宋体"/>
                <w:b/>
                <w:bCs/>
                <w:kern w:val="0"/>
                <w:szCs w:val="21"/>
              </w:rPr>
              <w:t xml:space="preserve"> 根据《光明区财政局转发&lt;深圳市财政委员会关于进一步规范政府采购项目招标文件编制的意见&gt;的通知》</w:t>
            </w:r>
            <w:r>
              <w:rPr>
                <w:rFonts w:hint="eastAsia" w:ascii="宋体" w:hAnsi="宋体" w:cs="宋体"/>
                <w:b/>
                <w:bCs/>
                <w:color w:val="FF0000"/>
                <w:kern w:val="0"/>
                <w:szCs w:val="21"/>
              </w:rPr>
              <w:t>“关于招标文件实质性条款的设置”要求，对于不允许偏离的实质性要求和条件，采购单位应当在招标文件中规定，并以醒目的方式标明(</w:t>
            </w:r>
            <w:r>
              <w:rPr>
                <w:rFonts w:hint="eastAsia" w:ascii="宋体" w:hAnsi="宋体" w:eastAsia="宋体" w:cs="宋体"/>
                <w:b/>
                <w:color w:val="FF0000"/>
                <w:kern w:val="0"/>
                <w:szCs w:val="21"/>
              </w:rPr>
              <w:t>★</w:t>
            </w:r>
            <w:r>
              <w:rPr>
                <w:rFonts w:hint="eastAsia" w:ascii="宋体" w:hAnsi="宋体" w:cs="宋体"/>
                <w:b/>
                <w:bCs/>
                <w:color w:val="FF0000"/>
                <w:kern w:val="0"/>
                <w:szCs w:val="21"/>
              </w:rPr>
              <w:t>星号)。此外，要严格控制实质性条款的数量，且不得出现于采购需求无关的实质性要求和条件。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0" w:type="auto"/>
            <w:vAlign w:val="center"/>
          </w:tcPr>
          <w:p>
            <w:pPr>
              <w:jc w:val="center"/>
              <w:rPr>
                <w:rFonts w:ascii="宋体" w:hAnsi="宋体" w:cs="宋体"/>
                <w:b/>
                <w:kern w:val="0"/>
                <w:sz w:val="28"/>
                <w:szCs w:val="28"/>
              </w:rPr>
            </w:pPr>
            <w:r>
              <w:rPr>
                <w:rFonts w:hint="eastAsia" w:ascii="宋体" w:hAnsi="宋体" w:cs="宋体"/>
                <w:b/>
                <w:kern w:val="0"/>
                <w:sz w:val="28"/>
                <w:szCs w:val="28"/>
              </w:rPr>
              <w:t>商务</w:t>
            </w:r>
          </w:p>
          <w:p>
            <w:pPr>
              <w:jc w:val="center"/>
              <w:rPr>
                <w:rFonts w:ascii="宋体" w:hAnsi="宋体" w:cs="宋体"/>
                <w:b/>
                <w:kern w:val="0"/>
                <w:sz w:val="28"/>
                <w:szCs w:val="28"/>
              </w:rPr>
            </w:pPr>
            <w:r>
              <w:rPr>
                <w:rFonts w:hint="eastAsia" w:ascii="宋体" w:hAnsi="宋体" w:cs="宋体"/>
                <w:b/>
                <w:kern w:val="0"/>
                <w:sz w:val="28"/>
                <w:szCs w:val="28"/>
              </w:rPr>
              <w:t>内容</w:t>
            </w:r>
          </w:p>
        </w:tc>
        <w:tc>
          <w:tcPr>
            <w:tcW w:w="0" w:type="auto"/>
            <w:gridSpan w:val="6"/>
            <w:vAlign w:val="center"/>
          </w:tcPr>
          <w:p>
            <w:pPr>
              <w:outlineLvl w:val="0"/>
              <w:rPr>
                <w:rFonts w:ascii="宋体" w:hAnsi="宋体" w:cs="宋体"/>
                <w:b/>
                <w:kern w:val="0"/>
                <w:szCs w:val="21"/>
              </w:rPr>
            </w:pPr>
            <w:r>
              <w:rPr>
                <w:rFonts w:hint="eastAsia" w:ascii="宋体" w:hAnsi="宋体" w:cs="宋体"/>
                <w:b/>
                <w:kern w:val="0"/>
                <w:szCs w:val="21"/>
              </w:rPr>
              <w:t>1.报价要求</w:t>
            </w:r>
            <w:r>
              <w:rPr>
                <w:rFonts w:hint="eastAsia" w:ascii="宋体" w:hAnsi="宋体" w:cs="宋体"/>
                <w:b/>
                <w:kern w:val="0"/>
                <w:szCs w:val="21"/>
              </w:rPr>
              <w:tab/>
            </w:r>
          </w:p>
          <w:p>
            <w:pPr>
              <w:outlineLvl w:val="0"/>
              <w:rPr>
                <w:rFonts w:ascii="宋体" w:hAnsi="宋体" w:cs="宋体"/>
                <w:bCs/>
                <w:kern w:val="0"/>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cs="宋体"/>
                <w:bCs/>
                <w:kern w:val="0"/>
                <w:szCs w:val="21"/>
              </w:rPr>
              <w:t>投标总价（人民币）须是完成该项目的一切费用总和；</w:t>
            </w:r>
          </w:p>
          <w:p>
            <w:pPr>
              <w:outlineLvl w:val="0"/>
              <w:rPr>
                <w:rFonts w:ascii="宋体" w:hAnsi="宋体" w:cs="宋体"/>
                <w:b/>
                <w:kern w:val="0"/>
                <w:szCs w:val="21"/>
              </w:rPr>
            </w:pPr>
            <w:r>
              <w:rPr>
                <w:rFonts w:hint="eastAsia" w:ascii="宋体" w:hAnsi="宋体" w:cs="宋体"/>
                <w:b/>
                <w:kern w:val="0"/>
                <w:szCs w:val="21"/>
              </w:rPr>
              <w:t>□自定：</w:t>
            </w:r>
          </w:p>
          <w:p>
            <w:pPr>
              <w:outlineLvl w:val="0"/>
              <w:rPr>
                <w:rFonts w:ascii="宋体" w:hAnsi="宋体" w:cs="宋体"/>
                <w:kern w:val="0"/>
                <w:szCs w:val="21"/>
              </w:rPr>
            </w:pPr>
            <w:r>
              <w:rPr>
                <w:rFonts w:hint="eastAsia" w:ascii="宋体" w:hAnsi="宋体" w:cs="宋体"/>
                <w:b/>
                <w:kern w:val="0"/>
                <w:szCs w:val="21"/>
              </w:rPr>
              <w:t>指引：</w:t>
            </w:r>
            <w:r>
              <w:rPr>
                <w:rFonts w:hint="eastAsia" w:ascii="宋体" w:hAnsi="宋体" w:cs="宋体"/>
                <w:kern w:val="0"/>
                <w:szCs w:val="21"/>
              </w:rPr>
              <w:t>采购单位如有特殊要求可更改报价要求的标准描述，否则采用标准描述。</w:t>
            </w:r>
          </w:p>
          <w:p>
            <w:pPr>
              <w:outlineLvl w:val="0"/>
              <w:rPr>
                <w:rFonts w:ascii="宋体" w:hAnsi="宋体" w:cs="宋体"/>
                <w:b/>
                <w:kern w:val="0"/>
                <w:szCs w:val="21"/>
              </w:rPr>
            </w:pPr>
          </w:p>
          <w:p>
            <w:pPr>
              <w:outlineLvl w:val="0"/>
              <w:rPr>
                <w:rFonts w:ascii="Times New Roman" w:hAnsi="Times New Roman" w:eastAsia="宋体" w:cs="宋体"/>
                <w:kern w:val="0"/>
                <w:szCs w:val="21"/>
              </w:rPr>
            </w:pPr>
            <w:r>
              <w:rPr>
                <w:rFonts w:hint="eastAsia" w:ascii="宋体" w:hAnsi="宋体" w:cs="宋体"/>
                <w:b/>
                <w:kern w:val="0"/>
                <w:szCs w:val="21"/>
              </w:rPr>
              <w:t>2.付款方式：</w:t>
            </w:r>
            <w:r>
              <w:rPr>
                <w:rFonts w:hint="eastAsia" w:ascii="Times New Roman" w:hAnsi="Times New Roman" w:eastAsia="宋体" w:cs="宋体"/>
                <w:kern w:val="0"/>
                <w:szCs w:val="21"/>
              </w:rPr>
              <w:t>结合</w:t>
            </w:r>
            <w:r>
              <w:rPr>
                <w:rFonts w:ascii="Times New Roman" w:hAnsi="Times New Roman" w:eastAsia="宋体" w:cs="宋体"/>
                <w:kern w:val="0"/>
                <w:szCs w:val="21"/>
              </w:rPr>
              <w:t>该项目工作内容</w:t>
            </w:r>
            <w:r>
              <w:rPr>
                <w:rFonts w:hint="eastAsia" w:ascii="Times New Roman" w:hAnsi="Times New Roman" w:eastAsia="宋体" w:cs="宋体"/>
                <w:kern w:val="0"/>
                <w:szCs w:val="21"/>
              </w:rPr>
              <w:t>、</w:t>
            </w:r>
            <w:r>
              <w:rPr>
                <w:rFonts w:ascii="Times New Roman" w:hAnsi="Times New Roman" w:eastAsia="宋体" w:cs="宋体"/>
                <w:kern w:val="0"/>
                <w:szCs w:val="21"/>
              </w:rPr>
              <w:t>工作量</w:t>
            </w:r>
            <w:r>
              <w:rPr>
                <w:rFonts w:hint="eastAsia" w:ascii="Times New Roman" w:hAnsi="Times New Roman" w:eastAsia="宋体" w:cs="宋体"/>
                <w:kern w:val="0"/>
                <w:szCs w:val="21"/>
              </w:rPr>
              <w:t>及</w:t>
            </w:r>
            <w:r>
              <w:rPr>
                <w:rFonts w:ascii="Times New Roman" w:hAnsi="Times New Roman" w:eastAsia="宋体" w:cs="宋体"/>
                <w:kern w:val="0"/>
                <w:szCs w:val="21"/>
              </w:rPr>
              <w:t>工作阶段，建议</w:t>
            </w:r>
            <w:r>
              <w:rPr>
                <w:rFonts w:hint="eastAsia" w:ascii="Times New Roman" w:hAnsi="Times New Roman" w:eastAsia="宋体" w:cs="宋体"/>
                <w:kern w:val="0"/>
                <w:szCs w:val="21"/>
              </w:rPr>
              <w:t>该</w:t>
            </w:r>
            <w:r>
              <w:rPr>
                <w:rFonts w:ascii="Times New Roman" w:hAnsi="Times New Roman" w:eastAsia="宋体" w:cs="宋体"/>
                <w:kern w:val="0"/>
                <w:szCs w:val="21"/>
              </w:rPr>
              <w:t>项目分</w:t>
            </w:r>
            <w:r>
              <w:rPr>
                <w:rFonts w:hint="eastAsia" w:ascii="Times New Roman" w:hAnsi="Times New Roman" w:eastAsia="宋体" w:cs="宋体"/>
                <w:kern w:val="0"/>
                <w:szCs w:val="21"/>
              </w:rPr>
              <w:t>三期付</w:t>
            </w:r>
            <w:r>
              <w:rPr>
                <w:rFonts w:ascii="Times New Roman" w:hAnsi="Times New Roman" w:eastAsia="宋体" w:cs="宋体"/>
                <w:kern w:val="0"/>
                <w:szCs w:val="21"/>
              </w:rPr>
              <w:t>款。</w:t>
            </w:r>
            <w:r>
              <w:rPr>
                <w:rFonts w:hint="eastAsia" w:ascii="Times New Roman" w:hAnsi="Times New Roman" w:eastAsia="宋体" w:cs="宋体"/>
                <w:kern w:val="0"/>
                <w:szCs w:val="21"/>
              </w:rPr>
              <w:t>采购方与中标方签订合同后，中标方开具对应金额的正式发票后30个</w:t>
            </w:r>
            <w:r>
              <w:rPr>
                <w:rFonts w:ascii="Times New Roman" w:hAnsi="Times New Roman" w:eastAsia="宋体" w:cs="宋体"/>
                <w:kern w:val="0"/>
                <w:szCs w:val="21"/>
              </w:rPr>
              <w:t>工作日</w:t>
            </w:r>
            <w:r>
              <w:rPr>
                <w:rFonts w:hint="eastAsia" w:ascii="Times New Roman" w:hAnsi="Times New Roman" w:eastAsia="宋体" w:cs="宋体"/>
                <w:kern w:val="0"/>
                <w:szCs w:val="21"/>
              </w:rPr>
              <w:t>内，采购方支付合同总金额的30%；中标方提交中期成果并经采购方审核通过，中标方开具对应金额的正式发票后30个</w:t>
            </w:r>
            <w:r>
              <w:rPr>
                <w:rFonts w:ascii="Times New Roman" w:hAnsi="Times New Roman" w:eastAsia="宋体" w:cs="宋体"/>
                <w:kern w:val="0"/>
                <w:szCs w:val="21"/>
              </w:rPr>
              <w:t>工作日</w:t>
            </w:r>
            <w:r>
              <w:rPr>
                <w:rFonts w:hint="eastAsia" w:ascii="Times New Roman" w:hAnsi="Times New Roman" w:eastAsia="宋体" w:cs="宋体"/>
                <w:kern w:val="0"/>
                <w:szCs w:val="21"/>
              </w:rPr>
              <w:t>内，采购方支付合同总金额的40%；中标方提交最终成果并经采购方审核通过，中标方开具对应金额的正式发票后30个</w:t>
            </w:r>
            <w:r>
              <w:rPr>
                <w:rFonts w:ascii="Times New Roman" w:hAnsi="Times New Roman" w:eastAsia="宋体" w:cs="宋体"/>
                <w:kern w:val="0"/>
                <w:szCs w:val="21"/>
              </w:rPr>
              <w:t>工作日</w:t>
            </w:r>
            <w:r>
              <w:rPr>
                <w:rFonts w:hint="eastAsia" w:ascii="Times New Roman" w:hAnsi="Times New Roman" w:eastAsia="宋体" w:cs="宋体"/>
                <w:kern w:val="0"/>
                <w:szCs w:val="21"/>
              </w:rPr>
              <w:t>内，采购方支付合同总金额的30%。</w:t>
            </w:r>
          </w:p>
          <w:p>
            <w:pPr>
              <w:outlineLvl w:val="0"/>
              <w:rPr>
                <w:rFonts w:ascii="Times New Roman" w:hAnsi="Times New Roman" w:eastAsia="宋体" w:cs="宋体"/>
                <w:kern w:val="0"/>
                <w:szCs w:val="21"/>
              </w:rPr>
            </w:pPr>
          </w:p>
          <w:p>
            <w:pPr>
              <w:outlineLvl w:val="0"/>
              <w:rPr>
                <w:rFonts w:ascii="宋体" w:hAnsi="宋体" w:cs="宋体"/>
                <w:b/>
                <w:kern w:val="0"/>
                <w:szCs w:val="21"/>
              </w:rPr>
            </w:pPr>
            <w:r>
              <w:rPr>
                <w:rFonts w:hint="eastAsia" w:ascii="宋体" w:hAnsi="宋体" w:cs="宋体"/>
                <w:b/>
                <w:kern w:val="0"/>
                <w:szCs w:val="21"/>
              </w:rPr>
              <w:t>3.售后服务要求：</w:t>
            </w:r>
            <w:r>
              <w:rPr>
                <w:rFonts w:ascii="宋体" w:hAnsi="宋体" w:cs="宋体"/>
                <w:b/>
                <w:kern w:val="0"/>
                <w:szCs w:val="21"/>
              </w:rPr>
              <w:t xml:space="preserve"> </w:t>
            </w:r>
          </w:p>
          <w:p>
            <w:pPr>
              <w:outlineLvl w:val="0"/>
              <w:rPr>
                <w:rFonts w:ascii="Times New Roman" w:hAnsi="Times New Roman" w:cs="宋体"/>
                <w:kern w:val="0"/>
                <w:szCs w:val="21"/>
              </w:rPr>
            </w:pPr>
            <w:r>
              <w:rPr>
                <w:rFonts w:hint="eastAsia" w:ascii="Times New Roman" w:hAnsi="Times New Roman" w:cs="宋体"/>
                <w:kern w:val="0"/>
                <w:szCs w:val="21"/>
              </w:rPr>
              <w:t>3.1 售后服务内容</w:t>
            </w:r>
          </w:p>
          <w:p>
            <w:pPr>
              <w:ind w:firstLine="420" w:firstLineChars="200"/>
              <w:outlineLvl w:val="0"/>
              <w:rPr>
                <w:rFonts w:ascii="Times New Roman" w:hAnsi="Times New Roman" w:cs="宋体"/>
                <w:kern w:val="0"/>
                <w:szCs w:val="21"/>
              </w:rPr>
            </w:pPr>
            <w:r>
              <w:rPr>
                <w:rFonts w:hint="eastAsia" w:ascii="Times New Roman" w:hAnsi="Times New Roman" w:cs="宋体"/>
                <w:kern w:val="0"/>
                <w:szCs w:val="21"/>
              </w:rPr>
              <w:t>在售后服务期限内提供相关咨询、协调和项目审查等技术支持。</w:t>
            </w:r>
          </w:p>
          <w:p>
            <w:pPr>
              <w:outlineLvl w:val="0"/>
              <w:rPr>
                <w:rFonts w:ascii="Times New Roman" w:hAnsi="Times New Roman" w:cs="宋体"/>
                <w:kern w:val="0"/>
                <w:szCs w:val="21"/>
              </w:rPr>
            </w:pPr>
            <w:r>
              <w:rPr>
                <w:rFonts w:hint="eastAsia" w:ascii="Times New Roman" w:hAnsi="Times New Roman" w:cs="宋体"/>
                <w:kern w:val="0"/>
                <w:szCs w:val="21"/>
              </w:rPr>
              <w:t>3.2 售后服务要求</w:t>
            </w:r>
          </w:p>
          <w:p>
            <w:pPr>
              <w:autoSpaceDE w:val="0"/>
              <w:autoSpaceDN w:val="0"/>
              <w:ind w:firstLine="420" w:firstLineChars="200"/>
              <w:rPr>
                <w:rFonts w:ascii="Times New Roman" w:hAnsi="Times New Roman" w:cs="宋体"/>
                <w:kern w:val="0"/>
                <w:szCs w:val="21"/>
              </w:rPr>
            </w:pPr>
            <w:r>
              <w:rPr>
                <w:rFonts w:hint="eastAsia" w:ascii="Times New Roman" w:hAnsi="Times New Roman" w:cs="宋体"/>
                <w:kern w:val="0"/>
                <w:szCs w:val="21"/>
              </w:rPr>
              <w:t>项目最终成果由采购方审查通过后进入售后服务期，售后服务内容主要包括技术支持等，</w:t>
            </w:r>
            <w:r>
              <w:rPr>
                <w:rFonts w:ascii="Times New Roman" w:hAnsi="Times New Roman" w:cs="宋体"/>
                <w:kern w:val="0"/>
                <w:szCs w:val="21"/>
              </w:rPr>
              <w:t>主要包括以下内容</w:t>
            </w:r>
          </w:p>
          <w:p>
            <w:pPr>
              <w:autoSpaceDE w:val="0"/>
              <w:autoSpaceDN w:val="0"/>
              <w:adjustRightInd w:val="0"/>
              <w:ind w:firstLine="420" w:firstLineChars="200"/>
              <w:rPr>
                <w:rFonts w:ascii="Times New Roman" w:hAnsi="Times New Roman" w:cs="宋体"/>
                <w:kern w:val="0"/>
                <w:szCs w:val="21"/>
              </w:rPr>
            </w:pPr>
            <w:r>
              <w:rPr>
                <w:rFonts w:hint="eastAsia" w:ascii="Times New Roman" w:hAnsi="Times New Roman" w:cs="宋体"/>
                <w:kern w:val="0"/>
                <w:szCs w:val="21"/>
              </w:rPr>
              <w:t>（1）专员支持服务：安排售后服务专员为本项目售后服务，并提供其联系电话、传真、</w:t>
            </w:r>
            <w:r>
              <w:rPr>
                <w:rFonts w:ascii="Times New Roman" w:hAnsi="Times New Roman" w:cs="宋体"/>
                <w:kern w:val="0"/>
                <w:szCs w:val="21"/>
              </w:rPr>
              <w:t>Email</w:t>
            </w:r>
            <w:r>
              <w:rPr>
                <w:rFonts w:hint="eastAsia" w:ascii="Times New Roman" w:hAnsi="Times New Roman" w:cs="宋体"/>
                <w:kern w:val="0"/>
                <w:szCs w:val="21"/>
              </w:rPr>
              <w:t>；保证采购方在工作日内能及时联系到售后服务专员；如人员需要调整中标方应及时书面通知采购方；</w:t>
            </w:r>
          </w:p>
          <w:p>
            <w:pPr>
              <w:autoSpaceDE w:val="0"/>
              <w:autoSpaceDN w:val="0"/>
              <w:adjustRightInd w:val="0"/>
              <w:ind w:firstLine="420" w:firstLineChars="200"/>
              <w:rPr>
                <w:rFonts w:ascii="Times New Roman" w:hAnsi="Times New Roman" w:cs="宋体"/>
                <w:kern w:val="0"/>
                <w:szCs w:val="21"/>
              </w:rPr>
            </w:pPr>
            <w:r>
              <w:rPr>
                <w:rFonts w:hint="eastAsia" w:ascii="Times New Roman" w:hAnsi="Times New Roman" w:cs="宋体"/>
                <w:kern w:val="0"/>
                <w:szCs w:val="21"/>
              </w:rPr>
              <w:t>（2）审查支持服务：中标方应配合采购方进行与本项目相关的技术审查工作，并提供专业技术意见。</w:t>
            </w:r>
          </w:p>
          <w:p>
            <w:pPr>
              <w:autoSpaceDE w:val="0"/>
              <w:autoSpaceDN w:val="0"/>
              <w:adjustRightInd w:val="0"/>
              <w:rPr>
                <w:rFonts w:ascii="Times New Roman" w:hAnsi="Times New Roman" w:cs="宋体"/>
                <w:kern w:val="0"/>
                <w:szCs w:val="21"/>
              </w:rPr>
            </w:pPr>
            <w:r>
              <w:rPr>
                <w:rFonts w:hint="eastAsia" w:ascii="Times New Roman" w:hAnsi="Times New Roman" w:cs="宋体"/>
                <w:kern w:val="0"/>
                <w:szCs w:val="21"/>
              </w:rPr>
              <w:t>3.3 售后服务期限</w:t>
            </w:r>
          </w:p>
          <w:p>
            <w:pPr>
              <w:ind w:firstLine="420" w:firstLineChars="200"/>
              <w:outlineLvl w:val="0"/>
              <w:rPr>
                <w:rFonts w:ascii="Times New Roman" w:hAnsi="Times New Roman" w:cs="宋体"/>
                <w:kern w:val="0"/>
                <w:szCs w:val="21"/>
              </w:rPr>
            </w:pPr>
            <w:r>
              <w:rPr>
                <w:rFonts w:hint="eastAsia" w:ascii="Times New Roman" w:hAnsi="Times New Roman" w:cs="宋体"/>
                <w:kern w:val="0"/>
                <w:szCs w:val="21"/>
              </w:rPr>
              <w:t>中标方应按照合同规定，在限定期限内完成该项目的编制、汇报等工作。项目售后服务期限自最终成果提交采购方并经审核通过之日起的</w:t>
            </w:r>
            <w:r>
              <w:rPr>
                <w:rFonts w:ascii="Times New Roman" w:hAnsi="Times New Roman" w:cs="宋体"/>
                <w:kern w:val="0"/>
                <w:szCs w:val="21"/>
              </w:rPr>
              <w:t>2</w:t>
            </w:r>
            <w:r>
              <w:rPr>
                <w:rFonts w:hint="eastAsia" w:ascii="Times New Roman" w:hAnsi="Times New Roman" w:cs="宋体"/>
                <w:kern w:val="0"/>
                <w:szCs w:val="21"/>
              </w:rPr>
              <w:t>年内，中标方须与采购方保持全面沟通，随时跟进。</w:t>
            </w:r>
          </w:p>
          <w:p>
            <w:pPr>
              <w:outlineLvl w:val="0"/>
              <w:rPr>
                <w:rFonts w:ascii="宋体" w:hAnsi="宋体" w:cs="宋体"/>
                <w:kern w:val="0"/>
                <w:szCs w:val="21"/>
              </w:rPr>
            </w:pPr>
          </w:p>
          <w:p>
            <w:pPr>
              <w:outlineLvl w:val="0"/>
              <w:rPr>
                <w:rFonts w:ascii="宋体" w:hAnsi="宋体" w:cs="宋体"/>
                <w:b/>
                <w:kern w:val="0"/>
                <w:szCs w:val="21"/>
              </w:rPr>
            </w:pPr>
            <w:r>
              <w:rPr>
                <w:rFonts w:ascii="宋体" w:hAnsi="宋体" w:cs="宋体"/>
                <w:b/>
                <w:kern w:val="0"/>
                <w:szCs w:val="21"/>
              </w:rPr>
              <w:t>4</w:t>
            </w:r>
            <w:r>
              <w:rPr>
                <w:rFonts w:hint="eastAsia" w:ascii="宋体" w:hAnsi="宋体" w:cs="宋体"/>
                <w:b/>
                <w:kern w:val="0"/>
                <w:szCs w:val="21"/>
              </w:rPr>
              <w:t>.履约保证金：无</w:t>
            </w:r>
          </w:p>
          <w:p>
            <w:pPr>
              <w:outlineLvl w:val="0"/>
              <w:rPr>
                <w:rFonts w:ascii="宋体" w:hAnsi="宋体" w:cs="宋体"/>
                <w:b/>
                <w:kern w:val="0"/>
                <w:szCs w:val="21"/>
              </w:rPr>
            </w:pPr>
            <w:r>
              <w:rPr>
                <w:rFonts w:ascii="宋体" w:hAnsi="宋体" w:cs="宋体"/>
                <w:b/>
                <w:kern w:val="0"/>
                <w:szCs w:val="21"/>
              </w:rPr>
              <w:t>5</w:t>
            </w:r>
            <w:r>
              <w:rPr>
                <w:rFonts w:hint="eastAsia" w:ascii="宋体" w:hAnsi="宋体" w:cs="宋体"/>
                <w:b/>
                <w:kern w:val="0"/>
                <w:szCs w:val="21"/>
              </w:rPr>
              <w:t>.违约金：违约金为占中标价的</w:t>
            </w:r>
            <w:r>
              <w:rPr>
                <w:rFonts w:hint="eastAsia" w:ascii="宋体" w:hAnsi="宋体" w:cs="宋体"/>
                <w:b/>
                <w:kern w:val="0"/>
                <w:szCs w:val="21"/>
                <w:u w:val="single"/>
              </w:rPr>
              <w:t>10%</w:t>
            </w:r>
            <w:r>
              <w:rPr>
                <w:rFonts w:hint="eastAsia" w:ascii="宋体" w:hAnsi="宋体" w:cs="宋体"/>
                <w:b/>
                <w:kern w:val="0"/>
                <w:szCs w:val="21"/>
              </w:rPr>
              <w:t>。</w:t>
            </w:r>
          </w:p>
          <w:p>
            <w:pPr>
              <w:outlineLvl w:val="0"/>
              <w:rPr>
                <w:rFonts w:ascii="宋体" w:hAnsi="宋体" w:cs="宋体"/>
                <w:b/>
                <w:kern w:val="0"/>
                <w:szCs w:val="21"/>
              </w:rPr>
            </w:pPr>
            <w:r>
              <w:rPr>
                <w:rFonts w:ascii="宋体" w:hAnsi="宋体" w:cs="宋体"/>
                <w:b/>
                <w:kern w:val="0"/>
                <w:szCs w:val="21"/>
              </w:rPr>
              <w:t>6</w:t>
            </w:r>
            <w:r>
              <w:rPr>
                <w:rFonts w:hint="eastAsia" w:ascii="宋体" w:hAnsi="宋体" w:cs="宋体"/>
                <w:b/>
                <w:kern w:val="0"/>
                <w:szCs w:val="21"/>
              </w:rPr>
              <w:t>.违约责任：</w:t>
            </w:r>
            <w:r>
              <w:rPr>
                <w:rFonts w:ascii="宋体" w:hAnsi="宋体" w:cs="宋体"/>
                <w:b/>
                <w:kern w:val="0"/>
                <w:szCs w:val="21"/>
              </w:rPr>
              <w:t xml:space="preserve"> </w:t>
            </w:r>
          </w:p>
          <w:p>
            <w:pPr>
              <w:ind w:firstLine="315" w:firstLineChars="150"/>
              <w:outlineLvl w:val="0"/>
              <w:rPr>
                <w:rFonts w:ascii="Times New Roman" w:hAnsi="Times New Roman" w:cs="宋体"/>
                <w:kern w:val="0"/>
                <w:szCs w:val="21"/>
              </w:rPr>
            </w:pPr>
            <w:r>
              <w:rPr>
                <w:rFonts w:hint="eastAsia" w:ascii="Times New Roman" w:hAnsi="Times New Roman" w:cs="宋体"/>
                <w:kern w:val="0"/>
                <w:szCs w:val="21"/>
              </w:rPr>
              <w:t>按照合同中拟定的违约说明进行问责及处罚。</w:t>
            </w:r>
          </w:p>
          <w:p>
            <w:pPr>
              <w:outlineLvl w:val="0"/>
              <w:rPr>
                <w:rFonts w:ascii="宋体" w:hAnsi="宋体" w:cs="宋体"/>
                <w:b/>
                <w:kern w:val="0"/>
                <w:szCs w:val="21"/>
              </w:rPr>
            </w:pPr>
            <w:r>
              <w:rPr>
                <w:rFonts w:ascii="宋体" w:hAnsi="宋体" w:cs="宋体"/>
                <w:b/>
                <w:kern w:val="0"/>
                <w:szCs w:val="21"/>
              </w:rPr>
              <w:t>7</w:t>
            </w:r>
            <w:r>
              <w:rPr>
                <w:rFonts w:hint="eastAsia" w:ascii="宋体" w:hAnsi="宋体" w:cs="宋体"/>
                <w:b/>
                <w:kern w:val="0"/>
                <w:szCs w:val="21"/>
              </w:rPr>
              <w:t>.其他：无（由采购单位明确填写，避免与中标供应商签订合同时产生纠纷）</w:t>
            </w:r>
          </w:p>
          <w:p>
            <w:pPr>
              <w:rPr>
                <w:rFonts w:ascii="宋体" w:hAnsi="宋体" w:cs="宋体"/>
                <w:kern w:val="0"/>
                <w:szCs w:val="21"/>
              </w:rPr>
            </w:pPr>
            <w:r>
              <w:rPr>
                <w:rFonts w:hint="eastAsia" w:ascii="宋体" w:hAnsi="宋体" w:cs="宋体"/>
                <w:kern w:val="0"/>
                <w:szCs w:val="21"/>
              </w:rPr>
              <w:t>指引：</w:t>
            </w:r>
          </w:p>
          <w:p>
            <w:pPr>
              <w:rPr>
                <w:rFonts w:ascii="宋体" w:hAnsi="宋体" w:cs="宋体"/>
                <w:kern w:val="0"/>
                <w:szCs w:val="21"/>
              </w:rPr>
            </w:pPr>
            <w:r>
              <w:rPr>
                <w:rFonts w:hint="eastAsia" w:ascii="Times New Roman" w:hAnsi="Times New Roman" w:cs="宋体"/>
                <w:kern w:val="0"/>
                <w:szCs w:val="21"/>
              </w:rPr>
              <w:t>（1）</w:t>
            </w:r>
            <w:r>
              <w:rPr>
                <w:rFonts w:hint="eastAsia" w:ascii="宋体" w:hAnsi="宋体" w:cs="宋体"/>
                <w:kern w:val="0"/>
                <w:szCs w:val="21"/>
              </w:rPr>
              <w:t>带“※”号的为必填表内容，其他内容可根据项目作适当增减。</w:t>
            </w:r>
          </w:p>
          <w:p>
            <w:pPr>
              <w:rPr>
                <w:rFonts w:ascii="宋体" w:hAnsi="宋体" w:cs="宋体"/>
                <w:kern w:val="0"/>
                <w:szCs w:val="21"/>
              </w:rPr>
            </w:pPr>
            <w:r>
              <w:rPr>
                <w:rFonts w:hint="eastAsia" w:ascii="Times New Roman" w:hAnsi="Times New Roman" w:cs="宋体"/>
                <w:kern w:val="0"/>
                <w:szCs w:val="21"/>
              </w:rPr>
              <w:t>（2）</w:t>
            </w:r>
            <w:r>
              <w:rPr>
                <w:rFonts w:hint="eastAsia" w:ascii="宋体" w:hAnsi="宋体" w:cs="宋体"/>
                <w:kern w:val="0"/>
                <w:szCs w:val="21"/>
              </w:rPr>
              <w:t>采购单位如有特别要求，可在“其他”中填写。</w:t>
            </w:r>
          </w:p>
          <w:p>
            <w:pPr>
              <w:rPr>
                <w:rFonts w:ascii="宋体" w:hAnsi="宋体" w:cs="宋体"/>
                <w:kern w:val="0"/>
                <w:szCs w:val="21"/>
              </w:rPr>
            </w:pPr>
            <w:r>
              <w:rPr>
                <w:rFonts w:hint="eastAsia" w:ascii="Times New Roman" w:hAnsi="Times New Roman" w:cs="宋体"/>
                <w:kern w:val="0"/>
                <w:szCs w:val="21"/>
              </w:rPr>
              <w:t>（3）</w:t>
            </w:r>
            <w:r>
              <w:rPr>
                <w:rFonts w:hint="eastAsia" w:ascii="宋体" w:hAnsi="宋体" w:cs="宋体"/>
                <w:kern w:val="0"/>
                <w:szCs w:val="21"/>
              </w:rPr>
              <w:t>服务要求中打</w:t>
            </w:r>
            <w:r>
              <w:rPr>
                <w:rFonts w:hint="eastAsia" w:ascii="宋体" w:hAnsi="宋体" w:cs="宋体"/>
                <w:b/>
                <w:color w:val="FF0000"/>
                <w:kern w:val="0"/>
                <w:szCs w:val="21"/>
              </w:rPr>
              <w:t>“</w:t>
            </w:r>
            <w:r>
              <w:rPr>
                <w:rFonts w:hint="eastAsia" w:ascii="宋体" w:hAnsi="宋体" w:eastAsia="宋体" w:cs="宋体"/>
                <w:b/>
                <w:color w:val="FF0000"/>
                <w:kern w:val="0"/>
                <w:szCs w:val="21"/>
              </w:rPr>
              <w:t>★</w:t>
            </w:r>
            <w:r>
              <w:rPr>
                <w:rFonts w:hint="eastAsia" w:ascii="宋体" w:hAnsi="宋体" w:cs="宋体"/>
                <w:b/>
                <w:color w:val="FF0000"/>
                <w:kern w:val="0"/>
                <w:szCs w:val="21"/>
              </w:rPr>
              <w:t>”号</w:t>
            </w:r>
            <w:r>
              <w:rPr>
                <w:rFonts w:hint="eastAsia" w:ascii="宋体" w:hAnsi="宋体" w:cs="宋体"/>
                <w:kern w:val="0"/>
                <w:szCs w:val="21"/>
              </w:rPr>
              <w:t>的部分为核心要求即实质性服务条款，不允许负偏离，投标人的投标不符合要求会导致投标无效。</w:t>
            </w:r>
          </w:p>
          <w:p>
            <w:pPr>
              <w:rPr>
                <w:rFonts w:ascii="宋体" w:hAnsi="宋体" w:cs="宋体"/>
                <w:b/>
                <w:kern w:val="0"/>
                <w:szCs w:val="21"/>
              </w:rPr>
            </w:pPr>
            <w:r>
              <w:rPr>
                <w:rFonts w:hint="eastAsia" w:ascii="Times New Roman" w:hAnsi="Times New Roman" w:cs="宋体"/>
                <w:kern w:val="0"/>
                <w:szCs w:val="21"/>
              </w:rPr>
              <w:t>（4）</w:t>
            </w:r>
            <w:r>
              <w:rPr>
                <w:rFonts w:hint="eastAsia" w:ascii="宋体" w:hAnsi="宋体" w:cs="宋体"/>
                <w:b/>
                <w:kern w:val="0"/>
                <w:szCs w:val="21"/>
              </w:rPr>
              <w:t>采购单位在招标文件中明确以上商务内容（付款方式、售后服务要求等），以免中标后，中标人因招标文件未明确约定问题双方产生纠纷，导致合同无法签订。</w:t>
            </w:r>
          </w:p>
        </w:tc>
      </w:tr>
    </w:tbl>
    <w:p>
      <w:pPr>
        <w:widowControl/>
        <w:jc w:val="left"/>
      </w:pPr>
      <w:r>
        <w:rPr>
          <w:rFonts w:hint="eastAsia"/>
        </w:rPr>
        <w:t>二、评标细则</w:t>
      </w:r>
    </w:p>
    <w:p>
      <w:pPr>
        <w:rPr>
          <w:rFonts w:ascii="宋体" w:hAnsi="宋体"/>
          <w:sz w:val="24"/>
          <w:szCs w:val="24"/>
        </w:rPr>
      </w:pPr>
      <w:r>
        <w:rPr>
          <w:rFonts w:hint="eastAsia" w:ascii="宋体" w:hAnsi="宋体"/>
          <w:sz w:val="24"/>
          <w:szCs w:val="24"/>
        </w:rPr>
        <w:t>1、权重范围</w:t>
      </w:r>
    </w:p>
    <w:tbl>
      <w:tblPr>
        <w:tblStyle w:val="11"/>
        <w:tblW w:w="5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29"/>
        <w:gridCol w:w="2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929" w:type="dxa"/>
            <w:vAlign w:val="center"/>
          </w:tcPr>
          <w:p>
            <w:pPr>
              <w:jc w:val="center"/>
              <w:rPr>
                <w:rFonts w:ascii="宋体" w:hAnsi="宋体"/>
                <w:b/>
                <w:bCs/>
                <w:sz w:val="24"/>
                <w:szCs w:val="24"/>
              </w:rPr>
            </w:pPr>
            <w:r>
              <w:rPr>
                <w:rFonts w:hint="eastAsia" w:ascii="宋体" w:hAnsi="宋体"/>
                <w:b/>
                <w:bCs/>
                <w:sz w:val="24"/>
                <w:szCs w:val="24"/>
              </w:rPr>
              <w:t>商务</w:t>
            </w:r>
          </w:p>
        </w:tc>
        <w:tc>
          <w:tcPr>
            <w:tcW w:w="2931" w:type="dxa"/>
            <w:vAlign w:val="center"/>
          </w:tcPr>
          <w:p>
            <w:pPr>
              <w:jc w:val="center"/>
              <w:rPr>
                <w:rFonts w:ascii="宋体" w:hAnsi="宋体"/>
                <w:b/>
                <w:bCs/>
                <w:sz w:val="24"/>
                <w:szCs w:val="24"/>
              </w:rPr>
            </w:pPr>
            <w:r>
              <w:rPr>
                <w:rFonts w:hint="eastAsia" w:ascii="宋体" w:hAnsi="宋体"/>
                <w:b/>
                <w:bCs/>
                <w:sz w:val="24"/>
                <w:szCs w:val="24"/>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2929" w:type="dxa"/>
            <w:vAlign w:val="center"/>
          </w:tcPr>
          <w:p>
            <w:pPr>
              <w:jc w:val="center"/>
              <w:rPr>
                <w:rFonts w:ascii="宋体" w:hAnsi="宋体"/>
                <w:sz w:val="24"/>
                <w:szCs w:val="24"/>
              </w:rPr>
            </w:pPr>
            <w:r>
              <w:rPr>
                <w:rFonts w:hint="eastAsia" w:ascii="宋体" w:hAnsi="宋体"/>
                <w:sz w:val="24"/>
                <w:szCs w:val="24"/>
              </w:rPr>
              <w:t>≤30分</w:t>
            </w:r>
          </w:p>
        </w:tc>
        <w:tc>
          <w:tcPr>
            <w:tcW w:w="2931" w:type="dxa"/>
            <w:vAlign w:val="center"/>
          </w:tcPr>
          <w:p>
            <w:pPr>
              <w:jc w:val="center"/>
              <w:rPr>
                <w:rFonts w:ascii="宋体" w:hAnsi="宋体"/>
                <w:sz w:val="24"/>
                <w:szCs w:val="24"/>
              </w:rPr>
            </w:pPr>
            <w:r>
              <w:rPr>
                <w:rFonts w:hint="eastAsia" w:ascii="宋体" w:hAnsi="宋体"/>
                <w:sz w:val="24"/>
                <w:szCs w:val="24"/>
              </w:rPr>
              <w:t>≥20分</w:t>
            </w:r>
          </w:p>
        </w:tc>
      </w:tr>
    </w:tbl>
    <w:p>
      <w:pPr>
        <w:jc w:val="left"/>
        <w:rPr>
          <w:rFonts w:ascii="宋体" w:hAnsi="宋体"/>
          <w:b/>
          <w:szCs w:val="21"/>
        </w:rPr>
      </w:pPr>
      <w:r>
        <w:rPr>
          <w:rFonts w:hint="eastAsia" w:ascii="宋体" w:hAnsi="宋体"/>
          <w:b/>
          <w:szCs w:val="21"/>
        </w:rPr>
        <w:t>投标人应根据本企业的成本自行决定报价，但不得以低于其企业成本的报价投标：</w:t>
      </w:r>
    </w:p>
    <w:p>
      <w:pPr>
        <w:ind w:firstLine="422" w:firstLineChars="200"/>
        <w:jc w:val="left"/>
        <w:rPr>
          <w:rFonts w:ascii="宋体" w:hAnsi="宋体"/>
          <w:b/>
          <w:szCs w:val="21"/>
        </w:rPr>
      </w:pPr>
      <w:r>
        <w:rPr>
          <w:rFonts w:hint="eastAsia" w:ascii="宋体" w:hAnsi="宋体"/>
          <w:b/>
          <w:szCs w:val="21"/>
        </w:rPr>
        <w:t>①投标人报价明显低于成本或其他通过符合性审查投标人的报价，有可能影响产品质量或者不能诚信履约的，评审委员会应当要求其对成本构成进行介绍，并要求投标人用书面的形式进行报价合理性说明（在保证质量的前提下，能够大幅节省经费的手段或原因）；</w:t>
      </w:r>
    </w:p>
    <w:p>
      <w:pPr>
        <w:ind w:firstLine="422" w:firstLineChars="200"/>
        <w:jc w:val="left"/>
        <w:rPr>
          <w:rFonts w:ascii="宋体" w:hAnsi="宋体"/>
          <w:b/>
          <w:szCs w:val="21"/>
        </w:rPr>
      </w:pPr>
      <w:r>
        <w:rPr>
          <w:rFonts w:hint="eastAsia" w:ascii="宋体" w:hAnsi="宋体"/>
          <w:b/>
          <w:szCs w:val="21"/>
        </w:rPr>
        <w:t>②未做出报价合理性说明的，评审委员会认定为该报价低于成本价，并按投标无效处理；</w:t>
      </w:r>
    </w:p>
    <w:p>
      <w:pPr>
        <w:ind w:firstLine="422" w:firstLineChars="200"/>
        <w:jc w:val="left"/>
        <w:rPr>
          <w:rFonts w:ascii="宋体" w:hAnsi="宋体"/>
          <w:b/>
          <w:szCs w:val="21"/>
        </w:rPr>
      </w:pPr>
      <w:r>
        <w:rPr>
          <w:rFonts w:hint="eastAsia" w:ascii="宋体" w:hAnsi="宋体"/>
          <w:b/>
          <w:szCs w:val="21"/>
        </w:rPr>
        <w:t>③供应商的报价说明是否合理，由评审委员会判定；</w:t>
      </w:r>
    </w:p>
    <w:p>
      <w:pPr>
        <w:ind w:firstLine="422" w:firstLineChars="200"/>
        <w:jc w:val="left"/>
        <w:rPr>
          <w:rFonts w:ascii="宋体" w:hAnsi="宋体"/>
          <w:b/>
          <w:szCs w:val="21"/>
        </w:rPr>
      </w:pPr>
      <w:r>
        <w:rPr>
          <w:rFonts w:hint="eastAsia" w:ascii="宋体" w:hAnsi="宋体"/>
          <w:b/>
          <w:szCs w:val="21"/>
        </w:rPr>
        <w:t>④如该报价成为中标价格，该项目将成为重点监管、重点验收项目；</w:t>
      </w:r>
    </w:p>
    <w:p>
      <w:pPr>
        <w:rPr>
          <w:rFonts w:ascii="宋体" w:hAnsi="宋体"/>
          <w:b/>
          <w:szCs w:val="21"/>
        </w:rPr>
      </w:pPr>
      <w:r>
        <w:rPr>
          <w:rFonts w:hint="eastAsia" w:ascii="宋体" w:hAnsi="宋体"/>
          <w:b/>
          <w:szCs w:val="21"/>
        </w:rPr>
        <w:t>⑤若评审委员会成员对是否须由投标人作出报价合理性说明，以及书面说明是否采纳等判断不一致的，按照“少数服从多数”的原则确定评审委员会的意见。</w:t>
      </w:r>
    </w:p>
    <w:p>
      <w:pPr>
        <w:rPr>
          <w:rFonts w:ascii="宋体" w:hAnsi="宋体"/>
          <w:sz w:val="24"/>
          <w:szCs w:val="24"/>
        </w:rPr>
      </w:pPr>
    </w:p>
    <w:p>
      <w:pPr>
        <w:numPr>
          <w:ilvl w:val="0"/>
          <w:numId w:val="2"/>
        </w:numPr>
        <w:rPr>
          <w:rFonts w:ascii="宋体" w:hAnsi="宋体"/>
          <w:sz w:val="24"/>
          <w:szCs w:val="24"/>
        </w:rPr>
      </w:pPr>
      <w:r>
        <w:rPr>
          <w:rFonts w:hint="eastAsia" w:ascii="宋体" w:hAnsi="宋体"/>
          <w:sz w:val="24"/>
          <w:szCs w:val="24"/>
        </w:rPr>
        <w:t>具体细则</w:t>
      </w:r>
    </w:p>
    <w:p>
      <w:pPr>
        <w:jc w:val="left"/>
        <w:rPr>
          <w:rFonts w:ascii="宋体" w:hAnsi="宋体" w:cs="宋体"/>
          <w:b/>
          <w:kern w:val="0"/>
          <w:szCs w:val="21"/>
        </w:rPr>
      </w:pPr>
      <w:r>
        <w:rPr>
          <w:rFonts w:hint="eastAsia" w:ascii="宋体" w:hAnsi="宋体" w:cs="宋体"/>
          <w:b/>
          <w:kern w:val="0"/>
          <w:szCs w:val="21"/>
        </w:rPr>
        <w:t>注：</w:t>
      </w:r>
    </w:p>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（1）根据《政府采购货物和服务招标投标管理办法》（财政部令第87号）第十七条之规定不得将投标人的注册资本、资产总额、营业收入、从业人员、利润、纳税额等规模条件作评审因素；</w:t>
      </w:r>
    </w:p>
    <w:p>
      <w:pPr>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（2）根据《光明区财政局转发&lt;深圳市财政委员会关于进一步规范政府采购项目招标文件编制的意见&gt;的通知》“关于评分因素的量化与细化”要求，</w:t>
      </w:r>
    </w:p>
    <w:p>
      <w:pPr>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1）评审因素必须与投标人所提供货物、服务的质量相关，资格条款禁止列为评审因素；</w:t>
      </w:r>
    </w:p>
    <w:p>
      <w:pPr>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2)评审因素必须是可以量化的指标，与货物、服务质量不相关或者不能量化的指标不得作为评审因素；</w:t>
      </w:r>
    </w:p>
    <w:p>
      <w:pPr>
        <w:jc w:val="left"/>
        <w:rPr>
          <w:rFonts w:ascii="宋体" w:hAnsi="宋体" w:cs="宋体"/>
          <w:b/>
          <w:color w:val="FF0000"/>
          <w:kern w:val="0"/>
          <w:szCs w:val="21"/>
        </w:rPr>
      </w:pPr>
      <w:r>
        <w:rPr>
          <w:rFonts w:hint="eastAsia" w:ascii="宋体" w:hAnsi="宋体" w:cs="宋体"/>
          <w:b/>
          <w:color w:val="FF0000"/>
          <w:kern w:val="0"/>
          <w:szCs w:val="21"/>
        </w:rPr>
        <w:t>3)</w:t>
      </w:r>
      <w:r>
        <w:rPr>
          <w:rFonts w:hint="eastAsia"/>
          <w:color w:val="FF0000"/>
        </w:rPr>
        <w:t xml:space="preserve"> </w:t>
      </w:r>
      <w:r>
        <w:rPr>
          <w:rFonts w:hint="eastAsia" w:ascii="宋体" w:hAnsi="宋体" w:cs="宋体"/>
          <w:b/>
          <w:color w:val="FF0000"/>
          <w:kern w:val="0"/>
          <w:szCs w:val="21"/>
        </w:rPr>
        <w:t>评审因素的指标量化后，评分标准的分值也必须量化，评审因素指标量化为区间的，评分标准的分值也必须量化到区间，并设置不同区间的具体分值；</w:t>
      </w:r>
    </w:p>
    <w:p>
      <w:pPr>
        <w:jc w:val="left"/>
        <w:rPr>
          <w:rFonts w:ascii="宋体" w:hAnsi="宋体" w:cs="宋体"/>
          <w:b/>
          <w:kern w:val="0"/>
          <w:szCs w:val="21"/>
        </w:rPr>
      </w:pPr>
      <w:r>
        <w:rPr>
          <w:rFonts w:hint="eastAsia" w:ascii="宋体" w:hAnsi="宋体" w:cs="宋体"/>
          <w:b/>
          <w:kern w:val="0"/>
          <w:szCs w:val="21"/>
        </w:rPr>
        <w:t>4) 评审因素在细化和量化时，应当明确等级对应的判断标准、具体分值，不宜设置为区间分值，</w:t>
      </w:r>
      <w:r>
        <w:rPr>
          <w:rFonts w:hint="eastAsia" w:ascii="宋体" w:hAnsi="宋体" w:cs="宋体"/>
          <w:b/>
          <w:color w:val="FF0000"/>
          <w:kern w:val="0"/>
          <w:szCs w:val="21"/>
        </w:rPr>
        <w:t>尽可能避免设立主观评审因素，</w:t>
      </w:r>
      <w:r>
        <w:rPr>
          <w:rFonts w:hint="eastAsia" w:ascii="宋体" w:hAnsi="宋体" w:cs="宋体"/>
          <w:b/>
          <w:kern w:val="0"/>
          <w:szCs w:val="21"/>
        </w:rPr>
        <w:t>以</w:t>
      </w:r>
      <w:r>
        <w:rPr>
          <w:rFonts w:hint="eastAsia" w:ascii="宋体" w:hAnsi="宋体" w:cs="宋体"/>
          <w:b/>
          <w:color w:val="FF0000"/>
          <w:kern w:val="0"/>
          <w:szCs w:val="21"/>
        </w:rPr>
        <w:t>减少专家的自由裁量权</w:t>
      </w:r>
      <w:r>
        <w:rPr>
          <w:rFonts w:hint="eastAsia" w:ascii="宋体" w:hAnsi="宋体" w:cs="宋体"/>
          <w:b/>
          <w:kern w:val="0"/>
          <w:szCs w:val="21"/>
        </w:rPr>
        <w:t>；如不宜使用“优”、“良”、“中”、“差”等没有明确判断标准，容易引起歧义的表述。</w:t>
      </w:r>
    </w:p>
    <w:p>
      <w:pPr>
        <w:jc w:val="left"/>
        <w:rPr>
          <w:rFonts w:ascii="宋体" w:hAnsi="宋体" w:cs="宋体"/>
          <w:b/>
          <w:color w:val="FF0000"/>
          <w:kern w:val="0"/>
          <w:szCs w:val="21"/>
        </w:rPr>
      </w:pPr>
      <w:r>
        <w:rPr>
          <w:rFonts w:hint="eastAsia" w:ascii="宋体" w:hAnsi="宋体" w:cs="宋体"/>
          <w:b/>
          <w:color w:val="000000" w:themeColor="text1"/>
          <w:kern w:val="0"/>
          <w:szCs w:val="21"/>
          <w14:textFill>
            <w14:solidFill>
              <w14:schemeClr w14:val="tx1"/>
            </w14:solidFill>
          </w14:textFill>
        </w:rPr>
        <w:t>(3)一般性技术条款的分值设定要合理，每项技术参数分值不宜过高，扣分标准要明晰。不同货物的技术要求中有某一项相同时，若投标供应商不能满足该项技术要求，不宜重复扣分，</w:t>
      </w:r>
      <w:r>
        <w:rPr>
          <w:rFonts w:hint="eastAsia" w:ascii="宋体" w:hAnsi="宋体" w:cs="宋体"/>
          <w:b/>
          <w:color w:val="FF0000"/>
          <w:kern w:val="0"/>
          <w:szCs w:val="21"/>
        </w:rPr>
        <w:t>避免因出现不满足某一项技术要求（非核心要求）导致重复扣分的情况。</w:t>
      </w:r>
    </w:p>
    <w:p>
      <w:pPr>
        <w:jc w:val="left"/>
        <w:rPr>
          <w:rFonts w:ascii="宋体" w:hAnsi="宋体" w:cs="宋体"/>
          <w:b/>
          <w:color w:val="000000" w:themeColor="text1"/>
          <w:kern w:val="0"/>
          <w:szCs w:val="21"/>
          <w14:textFill>
            <w14:solidFill>
              <w14:schemeClr w14:val="tx1"/>
            </w14:solidFill>
          </w14:textFill>
        </w:rPr>
      </w:pPr>
      <w:r>
        <w:rPr>
          <w:rFonts w:hint="eastAsia" w:ascii="宋体" w:hAnsi="宋体" w:cs="宋体"/>
          <w:kern w:val="0"/>
          <w:szCs w:val="21"/>
        </w:rPr>
        <w:t>（4）按照《深圳市政府采购招标文件编制内部指引》的规定，</w:t>
      </w:r>
      <w:r>
        <w:rPr>
          <w:rFonts w:hint="eastAsia" w:ascii="宋体" w:hAnsi="宋体" w:cs="宋体"/>
          <w:b/>
          <w:color w:val="FF0000"/>
          <w:kern w:val="0"/>
          <w:szCs w:val="21"/>
        </w:rPr>
        <w:t>不得设置“报价合理性”评审因素。</w:t>
      </w:r>
    </w:p>
    <w:tbl>
      <w:tblPr>
        <w:tblStyle w:val="11"/>
        <w:tblpPr w:leftFromText="180" w:rightFromText="180" w:vertAnchor="text" w:horzAnchor="margin" w:tblpY="76"/>
        <w:tblOverlap w:val="never"/>
        <w:tblW w:w="93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363"/>
        <w:gridCol w:w="1333"/>
        <w:gridCol w:w="30"/>
        <w:gridCol w:w="790"/>
        <w:gridCol w:w="52"/>
        <w:gridCol w:w="43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4"/>
              </w:rPr>
            </w:pPr>
            <w:r>
              <w:rPr>
                <w:b/>
                <w:bCs/>
              </w:rPr>
              <w:t>序号</w:t>
            </w:r>
          </w:p>
        </w:tc>
        <w:tc>
          <w:tcPr>
            <w:tcW w:w="4196"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4"/>
              </w:rPr>
            </w:pPr>
            <w:r>
              <w:rPr>
                <w:b/>
                <w:bCs/>
              </w:rPr>
              <w:t>评分项</w:t>
            </w:r>
          </w:p>
        </w:tc>
        <w:tc>
          <w:tcPr>
            <w:tcW w:w="4446"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4"/>
              </w:rPr>
            </w:pPr>
            <w:r>
              <w:rPr>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color w:val="0000FF"/>
                <w:sz w:val="24"/>
              </w:rPr>
            </w:pPr>
            <w:r>
              <w:rPr>
                <w:b/>
                <w:bCs/>
                <w:color w:val="0000FF"/>
              </w:rPr>
              <w:t>1</w:t>
            </w:r>
          </w:p>
        </w:tc>
        <w:tc>
          <w:tcPr>
            <w:tcW w:w="4196" w:type="dxa"/>
            <w:gridSpan w:val="5"/>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color w:val="0000FF"/>
                <w:sz w:val="24"/>
              </w:rPr>
            </w:pPr>
            <w:r>
              <w:rPr>
                <w:b/>
                <w:bCs/>
                <w:color w:val="0000FF"/>
              </w:rPr>
              <w:t>价格</w:t>
            </w:r>
          </w:p>
        </w:tc>
        <w:tc>
          <w:tcPr>
            <w:tcW w:w="4446" w:type="dxa"/>
            <w:gridSpan w:val="2"/>
            <w:tcBorders>
              <w:top w:val="single" w:color="000000" w:sz="8" w:space="0"/>
              <w:left w:val="single" w:color="000000" w:sz="8" w:space="0"/>
              <w:bottom w:val="single" w:color="000000" w:sz="8" w:space="0"/>
              <w:right w:val="single" w:color="000000" w:sz="8" w:space="0"/>
            </w:tcBorders>
          </w:tcPr>
          <w:p>
            <w:pPr>
              <w:jc w:val="center"/>
              <w:rPr>
                <w:rFonts w:ascii="Times New Roman" w:hAnsi="Times New Roman" w:cs="Times New Roman"/>
                <w:b/>
                <w:bCs/>
                <w:color w:val="0000FF"/>
                <w:sz w:val="24"/>
              </w:rPr>
            </w:pPr>
            <w:r>
              <w:rPr>
                <w:rFonts w:ascii="Times New Roman" w:hAnsi="Times New Roman" w:cs="Times New Roman"/>
                <w:b/>
                <w:bCs/>
                <w:color w:val="0000FF"/>
                <w:sz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614" w:hRule="atLeast"/>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Style w:val="9"/>
              <w:widowControl w:val="0"/>
              <w:spacing w:before="0" w:beforeAutospacing="0" w:after="0" w:afterAutospacing="0" w:line="324" w:lineRule="auto"/>
              <w:ind w:firstLine="420"/>
              <w:jc w:val="both"/>
              <w:rPr>
                <w:rFonts w:ascii="Times New Roman" w:hAnsi="Times New Roman" w:cs="Times New Roman"/>
                <w:kern w:val="2"/>
                <w:sz w:val="21"/>
                <w:szCs w:val="21"/>
              </w:rPr>
            </w:pPr>
          </w:p>
        </w:tc>
        <w:tc>
          <w:tcPr>
            <w:tcW w:w="8642" w:type="dxa"/>
            <w:gridSpan w:val="7"/>
            <w:tcBorders>
              <w:top w:val="single" w:color="000000" w:sz="8" w:space="0"/>
              <w:left w:val="single" w:color="000000" w:sz="8" w:space="0"/>
              <w:bottom w:val="single" w:color="000000" w:sz="8" w:space="0"/>
              <w:right w:val="single" w:color="000000" w:sz="8" w:space="0"/>
            </w:tcBorders>
            <w:vAlign w:val="center"/>
          </w:tcPr>
          <w:p>
            <w:pPr>
              <w:pStyle w:val="9"/>
              <w:widowControl w:val="0"/>
              <w:spacing w:before="0" w:beforeAutospacing="0" w:after="0" w:afterAutospacing="0" w:line="324" w:lineRule="auto"/>
              <w:ind w:firstLine="420"/>
              <w:jc w:val="both"/>
              <w:rPr>
                <w:rFonts w:ascii="Times New Roman" w:hAnsi="Times New Roman" w:cs="Times New Roman"/>
                <w:kern w:val="2"/>
                <w:sz w:val="21"/>
                <w:szCs w:val="21"/>
              </w:rPr>
            </w:pPr>
            <w:r>
              <w:rPr>
                <w:rFonts w:hint="eastAsia" w:ascii="Times New Roman" w:hAnsi="Times New Roman" w:cs="Times New Roman"/>
                <w:kern w:val="2"/>
                <w:sz w:val="21"/>
                <w:szCs w:val="21"/>
              </w:rPr>
              <w:t>一、价格分应当采用低价优先法计算，即满足招标文件要求且投标价格最低的投标报价为评标基准价，其价格分为满分。其他投标人的价格分统一按照下列公式计算：</w:t>
            </w:r>
          </w:p>
          <w:p>
            <w:pPr>
              <w:pStyle w:val="9"/>
              <w:widowControl w:val="0"/>
              <w:spacing w:before="0" w:beforeAutospacing="0" w:after="0" w:afterAutospacing="0" w:line="324" w:lineRule="auto"/>
              <w:ind w:firstLine="420"/>
              <w:jc w:val="both"/>
              <w:rPr>
                <w:rFonts w:ascii="Times New Roman" w:hAnsi="Times New Roman" w:cs="Times New Roman"/>
                <w:kern w:val="2"/>
                <w:sz w:val="21"/>
                <w:szCs w:val="21"/>
              </w:rPr>
            </w:pPr>
            <w:r>
              <w:rPr>
                <w:rFonts w:hint="eastAsia" w:ascii="Times New Roman" w:hAnsi="Times New Roman" w:cs="Times New Roman"/>
                <w:kern w:val="2"/>
                <w:sz w:val="21"/>
                <w:szCs w:val="21"/>
              </w:rPr>
              <w:t>投标报价得分=(评标基准价／投标报价)×100</w:t>
            </w:r>
            <w:r>
              <w:rPr>
                <w:rFonts w:ascii="Times New Roman" w:hAnsi="Times New Roman" w:cs="Times New Roman"/>
                <w:kern w:val="2"/>
                <w:sz w:val="21"/>
                <w:szCs w:val="21"/>
              </w:rPr>
              <w:tab/>
            </w:r>
          </w:p>
          <w:p>
            <w:pPr>
              <w:pStyle w:val="9"/>
              <w:widowControl w:val="0"/>
              <w:spacing w:before="0" w:beforeAutospacing="0" w:after="0" w:afterAutospacing="0" w:line="324" w:lineRule="auto"/>
              <w:ind w:firstLine="420"/>
              <w:jc w:val="both"/>
              <w:rPr>
                <w:rFonts w:ascii="Times New Roman" w:hAnsi="Times New Roman" w:cs="Times New Roman"/>
                <w:kern w:val="2"/>
                <w:sz w:val="21"/>
                <w:szCs w:val="21"/>
              </w:rPr>
            </w:pPr>
            <w:r>
              <w:rPr>
                <w:rFonts w:hint="eastAsia" w:ascii="Times New Roman" w:hAnsi="Times New Roman" w:cs="Times New Roman"/>
                <w:kern w:val="2"/>
                <w:sz w:val="21"/>
                <w:szCs w:val="21"/>
              </w:rPr>
              <w:t>评标总得分＝F1×A1＋F2×A2＋……＋Fn×An</w:t>
            </w:r>
          </w:p>
          <w:p>
            <w:pPr>
              <w:pStyle w:val="9"/>
              <w:widowControl w:val="0"/>
              <w:spacing w:before="0" w:beforeAutospacing="0" w:after="0" w:afterAutospacing="0" w:line="324" w:lineRule="auto"/>
              <w:ind w:firstLine="420"/>
              <w:jc w:val="both"/>
              <w:rPr>
                <w:rFonts w:ascii="Times New Roman" w:hAnsi="Times New Roman" w:cs="Times New Roman"/>
                <w:kern w:val="2"/>
                <w:sz w:val="21"/>
                <w:szCs w:val="21"/>
              </w:rPr>
            </w:pPr>
            <w:r>
              <w:rPr>
                <w:rFonts w:hint="eastAsia" w:ascii="Times New Roman" w:hAnsi="Times New Roman" w:cs="Times New Roman"/>
                <w:kern w:val="2"/>
                <w:sz w:val="21"/>
                <w:szCs w:val="21"/>
              </w:rPr>
              <w:t>F1、F2……Fn分别为各项评审因素的得分；</w:t>
            </w:r>
          </w:p>
          <w:p>
            <w:pPr>
              <w:pStyle w:val="9"/>
              <w:widowControl w:val="0"/>
              <w:spacing w:before="0" w:beforeAutospacing="0" w:after="0" w:afterAutospacing="0" w:line="324" w:lineRule="auto"/>
              <w:ind w:firstLine="420"/>
              <w:jc w:val="both"/>
              <w:rPr>
                <w:rFonts w:ascii="Times New Roman" w:hAnsi="Times New Roman" w:cs="Times New Roman"/>
                <w:kern w:val="2"/>
                <w:sz w:val="21"/>
                <w:szCs w:val="21"/>
              </w:rPr>
            </w:pPr>
            <w:r>
              <w:rPr>
                <w:rFonts w:hint="eastAsia" w:ascii="Times New Roman" w:hAnsi="Times New Roman" w:cs="Times New Roman"/>
                <w:kern w:val="2"/>
                <w:sz w:val="21"/>
                <w:szCs w:val="21"/>
              </w:rPr>
              <w:t>A1、A2、……An 分别为各项评审因素所占的权重(A1＋A2＋……＋An＝1)。</w:t>
            </w:r>
          </w:p>
          <w:p>
            <w:pPr>
              <w:pStyle w:val="9"/>
              <w:widowControl w:val="0"/>
              <w:spacing w:before="0" w:beforeAutospacing="0" w:after="0" w:afterAutospacing="0" w:line="324" w:lineRule="auto"/>
              <w:ind w:firstLine="420"/>
              <w:jc w:val="both"/>
              <w:rPr>
                <w:rFonts w:ascii="Times New Roman" w:hAnsi="Times New Roman" w:cs="Times New Roman"/>
                <w:kern w:val="2"/>
                <w:sz w:val="21"/>
                <w:szCs w:val="21"/>
              </w:rPr>
            </w:pPr>
            <w:r>
              <w:rPr>
                <w:rFonts w:hint="eastAsia" w:ascii="Times New Roman" w:hAnsi="Times New Roman" w:cs="Times New Roman"/>
                <w:kern w:val="2"/>
                <w:sz w:val="21"/>
                <w:szCs w:val="21"/>
              </w:rPr>
              <w:t>评标过程中，不得去掉报价中的最高报价和最低报价。</w:t>
            </w:r>
          </w:p>
          <w:p>
            <w:pPr>
              <w:pStyle w:val="9"/>
              <w:widowControl w:val="0"/>
              <w:spacing w:before="0" w:beforeAutospacing="0" w:after="0" w:afterAutospacing="0" w:line="324" w:lineRule="auto"/>
              <w:ind w:firstLine="420"/>
              <w:jc w:val="both"/>
              <w:rPr>
                <w:rFonts w:ascii="Times New Roman" w:hAnsi="Times New Roman" w:cs="Times New Roman"/>
                <w:kern w:val="2"/>
                <w:sz w:val="21"/>
                <w:szCs w:val="21"/>
              </w:rPr>
            </w:pPr>
            <w:r>
              <w:rPr>
                <w:rFonts w:hint="eastAsia" w:ascii="Times New Roman" w:hAnsi="Times New Roman" w:cs="Times New Roman"/>
                <w:kern w:val="2"/>
                <w:sz w:val="21"/>
                <w:szCs w:val="21"/>
              </w:rPr>
              <w:t>因落实政府采购政策进行价格调整的，以调整后的价格计算评标基准价和投标报价。</w:t>
            </w:r>
          </w:p>
          <w:p>
            <w:pPr>
              <w:ind w:firstLine="316" w:firstLineChars="150"/>
              <w:rPr>
                <w:b/>
                <w:bCs/>
                <w:color w:val="FF0000"/>
              </w:rPr>
            </w:pPr>
            <w:r>
              <w:rPr>
                <w:rFonts w:hint="eastAsia"/>
                <w:b/>
                <w:bCs/>
                <w:color w:val="FF0000"/>
              </w:rPr>
              <w:t>二、评标优惠政策：</w:t>
            </w:r>
          </w:p>
          <w:p>
            <w:r>
              <w:rPr>
                <w:rFonts w:hint="eastAsia"/>
                <w:b/>
                <w:bCs/>
                <w:color w:val="FF0000"/>
              </w:rPr>
              <w:t xml:space="preserve">   </w:t>
            </w:r>
            <w:r>
              <w:rPr>
                <w:rFonts w:hint="eastAsia"/>
              </w:rPr>
              <w:t>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w:t>
            </w:r>
            <w:r>
              <w:rPr>
                <w:rFonts w:hint="eastAsia"/>
                <w:b/>
                <w:color w:val="FF0000"/>
              </w:rPr>
              <w:t>其投标报价扣除</w:t>
            </w:r>
            <w:r>
              <w:rPr>
                <w:rFonts w:hint="eastAsia"/>
                <w:b/>
                <w:color w:val="FF0000"/>
                <w:u w:val="single"/>
              </w:rPr>
              <w:t xml:space="preserve"> 6  </w:t>
            </w:r>
            <w:r>
              <w:rPr>
                <w:rFonts w:hint="eastAsia"/>
                <w:b/>
                <w:color w:val="FF0000"/>
              </w:rPr>
              <w:t>%</w:t>
            </w:r>
            <w:r>
              <w:rPr>
                <w:rFonts w:hint="eastAsia"/>
              </w:rPr>
              <w:t>（</w:t>
            </w:r>
            <w:r>
              <w:rPr>
                <w:rFonts w:hint="eastAsia"/>
                <w:b/>
                <w:color w:val="FF0000"/>
              </w:rPr>
              <w:t>必填，请在6</w:t>
            </w:r>
            <w:r>
              <w:rPr>
                <w:b/>
                <w:color w:val="FF0000"/>
              </w:rPr>
              <w:t>%-</w:t>
            </w:r>
            <w:r>
              <w:rPr>
                <w:rFonts w:hint="eastAsia"/>
                <w:b/>
                <w:color w:val="FF0000"/>
              </w:rPr>
              <w:t>10</w:t>
            </w:r>
            <w:r>
              <w:rPr>
                <w:b/>
                <w:color w:val="FF0000"/>
              </w:rPr>
              <w:t>%</w:t>
            </w:r>
            <w:r>
              <w:rPr>
                <w:rFonts w:hint="eastAsia"/>
                <w:b/>
                <w:color w:val="FF0000"/>
              </w:rPr>
              <w:t>范围内选择</w:t>
            </w:r>
            <w:r>
              <w:rPr>
                <w:rFonts w:hint="eastAsia"/>
              </w:rPr>
              <w:t>）后参与评审。对于同时属于小微企业、监狱企业或残疾人福利性单位的，</w:t>
            </w:r>
            <w:r>
              <w:rPr>
                <w:rFonts w:hint="eastAsia"/>
                <w:b/>
                <w:color w:val="FF0000"/>
              </w:rPr>
              <w:t>不重复进行投标报价扣除</w:t>
            </w:r>
            <w:r>
              <w:rPr>
                <w:rFonts w:hint="eastAsia"/>
              </w:rPr>
              <w:t>。如有其它政策支持因素（如鼓励创新等）需一并列出。</w:t>
            </w:r>
          </w:p>
          <w:p>
            <w:r>
              <w:rPr>
                <w:rFonts w:hint="eastAsia"/>
              </w:rPr>
              <w:t xml:space="preserve">    2.联合协议中约定，小型、微型企业、残疾人福利性单位和监狱企业的协议合同金额占到联合体协议合同总金额30%以上的，</w:t>
            </w:r>
            <w:r>
              <w:rPr>
                <w:rFonts w:hint="eastAsia"/>
                <w:b/>
                <w:color w:val="FF0000"/>
              </w:rPr>
              <w:t>可给予联合体</w:t>
            </w:r>
            <w:r>
              <w:rPr>
                <w:rFonts w:hint="eastAsia"/>
                <w:b/>
                <w:color w:val="FF0000"/>
                <w:u w:val="single"/>
              </w:rPr>
              <w:t xml:space="preserve">  / </w:t>
            </w:r>
            <w:r>
              <w:rPr>
                <w:rFonts w:hint="eastAsia"/>
                <w:b/>
                <w:color w:val="FF0000"/>
              </w:rPr>
              <w:t>%</w:t>
            </w:r>
            <w:r>
              <w:t xml:space="preserve"> </w:t>
            </w:r>
            <w:r>
              <w:rPr>
                <w:rFonts w:hint="eastAsia"/>
                <w:b/>
                <w:color w:val="FF0000"/>
              </w:rPr>
              <w:t>（允许联合体投标的项目必填，请在2</w:t>
            </w:r>
            <w:r>
              <w:rPr>
                <w:b/>
                <w:color w:val="FF0000"/>
              </w:rPr>
              <w:t>%-</w:t>
            </w:r>
            <w:r>
              <w:rPr>
                <w:rFonts w:hint="eastAsia"/>
                <w:b/>
                <w:color w:val="FF0000"/>
              </w:rPr>
              <w:t>3</w:t>
            </w:r>
            <w:r>
              <w:rPr>
                <w:b/>
                <w:color w:val="FF0000"/>
              </w:rPr>
              <w:t>%</w:t>
            </w:r>
            <w:r>
              <w:rPr>
                <w:rFonts w:hint="eastAsia"/>
                <w:b/>
                <w:color w:val="FF0000"/>
              </w:rPr>
              <w:t>范围内选择）</w:t>
            </w:r>
            <w:r>
              <w:rPr>
                <w:rFonts w:hint="eastAsia"/>
              </w:rPr>
              <w:t>的价格扣除。</w:t>
            </w:r>
          </w:p>
          <w:p>
            <w:r>
              <w:rPr>
                <w:rFonts w:hint="eastAsia"/>
              </w:rPr>
              <w:t xml:space="preserve">    联合体各方均为小型、微型企业和监狱企业的，联合体视同为小型、微型企业和监狱企业，均享受</w:t>
            </w:r>
            <w:r>
              <w:rPr>
                <w:rFonts w:hint="eastAsia"/>
                <w:b/>
                <w:bCs/>
                <w:color w:val="FF0000"/>
              </w:rPr>
              <w:t>评标优惠政策</w:t>
            </w:r>
            <w:r>
              <w:rPr>
                <w:rFonts w:hint="eastAsia"/>
              </w:rPr>
              <w:t>第一款的优惠政策。</w:t>
            </w:r>
          </w:p>
          <w:p>
            <w:pPr>
              <w:pStyle w:val="9"/>
              <w:widowControl w:val="0"/>
              <w:spacing w:before="0" w:beforeAutospacing="0" w:after="0" w:afterAutospacing="0" w:line="324" w:lineRule="auto"/>
              <w:ind w:firstLine="420"/>
              <w:jc w:val="both"/>
              <w:rPr>
                <w:rFonts w:ascii="Times New Roman" w:hAnsi="Times New Roman" w:cs="Times New Roman"/>
                <w:kern w:val="2"/>
                <w:sz w:val="21"/>
                <w:szCs w:val="21"/>
              </w:rPr>
            </w:pPr>
            <w:r>
              <w:rPr>
                <w:rFonts w:hint="eastAsia"/>
                <w:sz w:val="21"/>
                <w:szCs w:val="21"/>
              </w:rPr>
              <w:t>3.</w:t>
            </w:r>
            <w:r>
              <w:rPr>
                <w:rFonts w:hint="eastAsia"/>
                <w:b/>
                <w:color w:val="FF0000"/>
                <w:sz w:val="21"/>
                <w:szCs w:val="21"/>
              </w:rPr>
              <w:t>采购人所采购产品</w:t>
            </w:r>
            <w:r>
              <w:rPr>
                <w:rFonts w:hint="eastAsia"/>
                <w:b/>
                <w:color w:val="FF0000"/>
                <w:sz w:val="21"/>
                <w:szCs w:val="21"/>
                <w:u w:val="single"/>
              </w:rPr>
              <w:t xml:space="preserve"> </w:t>
            </w:r>
            <w:r>
              <w:rPr>
                <w:b/>
                <w:color w:val="FF0000"/>
                <w:sz w:val="21"/>
                <w:szCs w:val="21"/>
                <w:u w:val="single"/>
              </w:rPr>
              <w:t xml:space="preserve"> / </w:t>
            </w:r>
            <w:r>
              <w:rPr>
                <w:rFonts w:hint="eastAsia"/>
                <w:b/>
                <w:color w:val="FF0000"/>
                <w:sz w:val="21"/>
                <w:szCs w:val="21"/>
                <w:u w:val="single"/>
              </w:rPr>
              <w:t xml:space="preserve"> </w:t>
            </w:r>
            <w:r>
              <w:rPr>
                <w:rFonts w:hint="eastAsia"/>
                <w:b/>
                <w:color w:val="FF0000"/>
                <w:sz w:val="21"/>
                <w:szCs w:val="21"/>
              </w:rPr>
              <w:t>为政府强制采购的节能、环保产品，</w:t>
            </w:r>
            <w:r>
              <w:rPr>
                <w:rFonts w:hint="eastAsia"/>
                <w:sz w:val="21"/>
                <w:szCs w:val="21"/>
              </w:rPr>
              <w:t>投标人应当提供所投产品的由国家确定的认证机构出具的、处于有效期之内的节能产品、环境标志产品认证证书，否则其投标将被认定为投标无效。《节能产品政府采购品目清单》、《环境标志产品政府采购品目清单》、《参与实施政府采购节能产品认证机构名录》及《参与实施政府采购环境标志产品认证机构名录》，详见中国政府采购网（http://www.ccgp.gov.c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color w:val="0000FF"/>
                <w:sz w:val="24"/>
              </w:rPr>
            </w:pPr>
            <w:r>
              <w:rPr>
                <w:b/>
                <w:bCs/>
                <w:color w:val="0000FF"/>
              </w:rPr>
              <w:t>2</w:t>
            </w:r>
          </w:p>
        </w:tc>
        <w:tc>
          <w:tcPr>
            <w:tcW w:w="4196" w:type="dxa"/>
            <w:gridSpan w:val="5"/>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color w:val="0000FF"/>
                <w:sz w:val="24"/>
              </w:rPr>
            </w:pPr>
            <w:r>
              <w:rPr>
                <w:b/>
                <w:bCs/>
                <w:color w:val="0000FF"/>
              </w:rPr>
              <w:t>商务部分</w:t>
            </w:r>
          </w:p>
        </w:tc>
        <w:tc>
          <w:tcPr>
            <w:tcW w:w="4446" w:type="dxa"/>
            <w:gridSpan w:val="2"/>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color w:val="0000FF"/>
                <w:sz w:val="24"/>
              </w:rPr>
            </w:pPr>
            <w:r>
              <w:rPr>
                <w:rFonts w:hint="eastAsia" w:ascii="宋体" w:hAnsi="宋体" w:cs="宋体"/>
                <w:b/>
                <w:bCs/>
                <w:color w:val="0000FF"/>
                <w:sz w:val="24"/>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序号</w:t>
            </w:r>
          </w:p>
        </w:tc>
        <w:tc>
          <w:tcPr>
            <w:tcW w:w="2696"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评分因素</w:t>
            </w:r>
          </w:p>
        </w:tc>
        <w:tc>
          <w:tcPr>
            <w:tcW w:w="820"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分值范围</w:t>
            </w:r>
          </w:p>
        </w:tc>
        <w:tc>
          <w:tcPr>
            <w:tcW w:w="4446"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szCs w:val="21"/>
              </w:rPr>
              <w:t>1</w:t>
            </w:r>
          </w:p>
        </w:tc>
        <w:tc>
          <w:tcPr>
            <w:tcW w:w="2696"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szCs w:val="21"/>
              </w:rPr>
              <w:t>同类项目业绩</w:t>
            </w:r>
          </w:p>
          <w:p>
            <w:pPr>
              <w:jc w:val="center"/>
              <w:rPr>
                <w:rFonts w:ascii="宋体" w:hAnsi="宋体" w:cs="宋体"/>
                <w:szCs w:val="21"/>
              </w:rPr>
            </w:pPr>
          </w:p>
        </w:tc>
        <w:tc>
          <w:tcPr>
            <w:tcW w:w="820"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szCs w:val="21"/>
              </w:rPr>
              <w:t>10</w:t>
            </w:r>
          </w:p>
        </w:tc>
        <w:tc>
          <w:tcPr>
            <w:tcW w:w="4446" w:type="dxa"/>
            <w:gridSpan w:val="2"/>
            <w:tcBorders>
              <w:top w:val="single" w:color="000000" w:sz="8" w:space="0"/>
              <w:left w:val="single" w:color="000000" w:sz="8" w:space="0"/>
              <w:bottom w:val="single" w:color="000000" w:sz="8" w:space="0"/>
              <w:right w:val="single" w:color="000000" w:sz="8" w:space="0"/>
            </w:tcBorders>
          </w:tcPr>
          <w:p>
            <w:pPr>
              <w:numPr>
                <w:ilvl w:val="0"/>
                <w:numId w:val="3"/>
              </w:numPr>
              <w:ind w:left="0" w:hanging="318"/>
              <w:jc w:val="left"/>
              <w:rPr>
                <w:rFonts w:ascii="宋体" w:hAnsi="宋体"/>
                <w:b/>
                <w:szCs w:val="21"/>
              </w:rPr>
            </w:pPr>
            <w:r>
              <w:rPr>
                <w:rFonts w:hint="eastAsia" w:ascii="宋体" w:hAnsi="宋体"/>
                <w:b/>
                <w:szCs w:val="21"/>
              </w:rPr>
              <w:t>1、评审标准：</w:t>
            </w:r>
          </w:p>
          <w:p>
            <w:pPr>
              <w:rPr>
                <w:rFonts w:ascii="宋体" w:hAnsi="宋体"/>
                <w:szCs w:val="21"/>
              </w:rPr>
            </w:pPr>
            <w:r>
              <w:rPr>
                <w:rFonts w:hint="eastAsia" w:ascii="宋体" w:hAnsi="宋体"/>
                <w:szCs w:val="21"/>
              </w:rPr>
              <w:t>投标人自2018年1月1日至投标截止日止承担过：</w:t>
            </w:r>
          </w:p>
          <w:p>
            <w:pPr>
              <w:rPr>
                <w:rFonts w:ascii="宋体" w:hAnsi="宋体"/>
                <w:szCs w:val="21"/>
              </w:rPr>
            </w:pPr>
            <w:r>
              <w:rPr>
                <w:rFonts w:hint="eastAsia" w:ascii="宋体" w:hAnsi="宋体"/>
                <w:szCs w:val="21"/>
              </w:rPr>
              <w:t>（1）地下空间（开发利用）专项规划项目的，每个项目得 1 分，本项最多得 5 分。</w:t>
            </w:r>
          </w:p>
          <w:p>
            <w:pPr>
              <w:rPr>
                <w:rFonts w:ascii="宋体" w:hAnsi="宋体"/>
                <w:szCs w:val="21"/>
              </w:rPr>
            </w:pPr>
            <w:r>
              <w:rPr>
                <w:rFonts w:hint="eastAsia" w:ascii="宋体" w:hAnsi="宋体"/>
                <w:szCs w:val="21"/>
              </w:rPr>
              <w:t xml:space="preserve">（2）竖向设计专项规划项目的,每个项目得 1 分，本项最多得 </w:t>
            </w:r>
            <w:r>
              <w:rPr>
                <w:rFonts w:ascii="宋体" w:hAnsi="宋体"/>
                <w:szCs w:val="21"/>
              </w:rPr>
              <w:t>2</w:t>
            </w:r>
            <w:r>
              <w:rPr>
                <w:rFonts w:hint="eastAsia" w:ascii="宋体" w:hAnsi="宋体"/>
                <w:szCs w:val="21"/>
              </w:rPr>
              <w:t xml:space="preserve"> 分。</w:t>
            </w:r>
          </w:p>
          <w:p>
            <w:pPr>
              <w:rPr>
                <w:rFonts w:ascii="宋体" w:hAnsi="宋体"/>
                <w:szCs w:val="21"/>
              </w:rPr>
            </w:pPr>
            <w:r>
              <w:rPr>
                <w:rFonts w:hint="eastAsia" w:ascii="宋体" w:hAnsi="宋体"/>
                <w:szCs w:val="21"/>
              </w:rPr>
              <w:t>（3）</w:t>
            </w:r>
            <w:r>
              <w:rPr>
                <w:rFonts w:hint="eastAsia" w:ascii="宋体" w:hAnsi="宋体" w:cs="宋体"/>
                <w:sz w:val="22"/>
              </w:rPr>
              <w:t>轨道</w:t>
            </w:r>
            <w:r>
              <w:rPr>
                <w:rFonts w:ascii="宋体" w:hAnsi="宋体" w:cs="宋体"/>
                <w:sz w:val="22"/>
              </w:rPr>
              <w:t>线路详细研究</w:t>
            </w:r>
            <w:r>
              <w:rPr>
                <w:rFonts w:hint="eastAsia" w:ascii="宋体" w:hAnsi="宋体" w:cs="宋体"/>
                <w:sz w:val="22"/>
              </w:rPr>
              <w:t>专项规划</w:t>
            </w:r>
            <w:r>
              <w:rPr>
                <w:rFonts w:ascii="宋体" w:hAnsi="宋体" w:cs="宋体"/>
                <w:sz w:val="22"/>
              </w:rPr>
              <w:t>项目</w:t>
            </w:r>
            <w:r>
              <w:rPr>
                <w:rFonts w:hint="eastAsia" w:ascii="宋体" w:hAnsi="宋体" w:cs="宋体"/>
                <w:sz w:val="22"/>
              </w:rPr>
              <w:t>的</w:t>
            </w:r>
            <w:r>
              <w:rPr>
                <w:rFonts w:hint="eastAsia" w:ascii="宋体" w:hAnsi="宋体"/>
                <w:szCs w:val="21"/>
              </w:rPr>
              <w:t>，每个项目得1 分，本项最多得 2 分。</w:t>
            </w:r>
          </w:p>
          <w:p>
            <w:pPr>
              <w:rPr>
                <w:rFonts w:ascii="宋体" w:hAnsi="宋体"/>
                <w:szCs w:val="21"/>
              </w:rPr>
            </w:pPr>
            <w:r>
              <w:rPr>
                <w:rFonts w:hint="eastAsia" w:ascii="宋体" w:hAnsi="宋体"/>
                <w:szCs w:val="21"/>
              </w:rPr>
              <w:t>（4）</w:t>
            </w:r>
            <w:r>
              <w:rPr>
                <w:rFonts w:hint="eastAsia" w:ascii="宋体" w:hAnsi="宋体" w:cs="宋体"/>
                <w:sz w:val="22"/>
              </w:rPr>
              <w:t>轨道交通接驳规划（方案）专项规划项目的，每个</w:t>
            </w:r>
            <w:r>
              <w:rPr>
                <w:rFonts w:ascii="宋体" w:hAnsi="宋体" w:cs="宋体"/>
                <w:sz w:val="22"/>
              </w:rPr>
              <w:t>项目</w:t>
            </w:r>
            <w:r>
              <w:rPr>
                <w:rFonts w:hint="eastAsia" w:ascii="宋体" w:hAnsi="宋体" w:cs="宋体"/>
                <w:sz w:val="22"/>
              </w:rPr>
              <w:t>得0.5分</w:t>
            </w:r>
            <w:r>
              <w:rPr>
                <w:rFonts w:ascii="宋体" w:hAnsi="宋体" w:cs="宋体"/>
                <w:sz w:val="22"/>
              </w:rPr>
              <w:t>，</w:t>
            </w:r>
            <w:r>
              <w:rPr>
                <w:rFonts w:hint="eastAsia" w:ascii="宋体" w:hAnsi="宋体" w:cs="宋体"/>
                <w:sz w:val="22"/>
              </w:rPr>
              <w:t>本项</w:t>
            </w:r>
            <w:r>
              <w:rPr>
                <w:rFonts w:ascii="宋体" w:hAnsi="宋体" w:cs="宋体"/>
                <w:sz w:val="22"/>
              </w:rPr>
              <w:t>最多</w:t>
            </w:r>
            <w:r>
              <w:rPr>
                <w:rFonts w:hint="eastAsia" w:ascii="宋体" w:hAnsi="宋体" w:cs="宋体"/>
                <w:sz w:val="22"/>
              </w:rPr>
              <w:t>的1分</w:t>
            </w:r>
            <w:r>
              <w:rPr>
                <w:rFonts w:ascii="宋体" w:hAnsi="宋体" w:cs="宋体"/>
                <w:sz w:val="22"/>
              </w:rPr>
              <w:t>。</w:t>
            </w:r>
          </w:p>
          <w:p>
            <w:pPr>
              <w:jc w:val="left"/>
              <w:rPr>
                <w:rFonts w:ascii="宋体" w:hAnsi="宋体"/>
                <w:b/>
                <w:szCs w:val="21"/>
              </w:rPr>
            </w:pPr>
            <w:r>
              <w:rPr>
                <w:rFonts w:hint="eastAsia" w:ascii="宋体" w:hAnsi="宋体"/>
                <w:b/>
                <w:szCs w:val="21"/>
              </w:rPr>
              <w:t>2、证明文件：</w:t>
            </w:r>
          </w:p>
          <w:p>
            <w:pPr>
              <w:rPr>
                <w:rFonts w:ascii="宋体" w:hAnsi="宋体"/>
                <w:b/>
                <w:bCs/>
                <w:szCs w:val="21"/>
              </w:rPr>
            </w:pPr>
            <w:r>
              <w:rPr>
                <w:rFonts w:hint="eastAsia" w:ascii="宋体" w:hAnsi="宋体"/>
                <w:szCs w:val="21"/>
              </w:rPr>
              <w:t>投标人须提供项目合同关键页原件扫描件，原件备查。</w:t>
            </w:r>
            <w:r>
              <w:rPr>
                <w:rFonts w:hint="eastAsia"/>
                <w:szCs w:val="21"/>
              </w:rPr>
              <w:t>未提供或提供不清晰导致无法判断的，不得分</w:t>
            </w:r>
            <w:r>
              <w:rPr>
                <w:rFonts w:hint="eastAsia" w:ascii="宋体" w:hAnsi="宋体" w:cs="宋体"/>
                <w:kern w:val="0"/>
                <w:szCs w:val="21"/>
              </w:rPr>
              <w:t>。业绩时间</w:t>
            </w:r>
            <w:r>
              <w:rPr>
                <w:rFonts w:hint="eastAsia" w:ascii="宋体" w:hAnsi="宋体" w:cs="宋体"/>
                <w:sz w:val="22"/>
              </w:rPr>
              <w:t>以合同签订时间为准</w:t>
            </w: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szCs w:val="21"/>
              </w:rPr>
            </w:pPr>
            <w:r>
              <w:rPr>
                <w:rFonts w:hint="eastAsia"/>
                <w:szCs w:val="21"/>
              </w:rPr>
              <w:t>2</w:t>
            </w:r>
          </w:p>
        </w:tc>
        <w:tc>
          <w:tcPr>
            <w:tcW w:w="2696"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szCs w:val="21"/>
              </w:rPr>
              <w:t>投标人资质情况</w:t>
            </w:r>
          </w:p>
        </w:tc>
        <w:tc>
          <w:tcPr>
            <w:tcW w:w="820"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ascii="宋体" w:hAnsi="宋体"/>
                <w:szCs w:val="21"/>
              </w:rPr>
              <w:t>8</w:t>
            </w:r>
          </w:p>
        </w:tc>
        <w:tc>
          <w:tcPr>
            <w:tcW w:w="4446" w:type="dxa"/>
            <w:gridSpan w:val="2"/>
            <w:tcBorders>
              <w:top w:val="single" w:color="000000" w:sz="8" w:space="0"/>
              <w:left w:val="single" w:color="000000" w:sz="8" w:space="0"/>
              <w:bottom w:val="single" w:color="000000" w:sz="8" w:space="0"/>
              <w:right w:val="single" w:color="000000" w:sz="8" w:space="0"/>
            </w:tcBorders>
          </w:tcPr>
          <w:p>
            <w:pPr>
              <w:numPr>
                <w:ilvl w:val="0"/>
                <w:numId w:val="4"/>
              </w:numPr>
              <w:ind w:left="0" w:hanging="318"/>
              <w:jc w:val="left"/>
              <w:rPr>
                <w:rFonts w:ascii="宋体" w:hAnsi="宋体"/>
                <w:b/>
                <w:szCs w:val="21"/>
              </w:rPr>
            </w:pPr>
            <w:r>
              <w:rPr>
                <w:rFonts w:hint="eastAsia" w:ascii="宋体" w:hAnsi="宋体"/>
                <w:b/>
                <w:szCs w:val="21"/>
              </w:rPr>
              <w:t>1、评审标准：</w:t>
            </w:r>
          </w:p>
          <w:p>
            <w:pPr>
              <w:rPr>
                <w:rFonts w:ascii="宋体" w:hAnsi="宋体" w:cs="宋体"/>
                <w:b/>
                <w:kern w:val="0"/>
                <w:szCs w:val="21"/>
              </w:rPr>
            </w:pPr>
            <w:r>
              <w:rPr>
                <w:rFonts w:ascii="宋体" w:hAnsi="宋体" w:cs="宋体"/>
                <w:kern w:val="0"/>
                <w:szCs w:val="21"/>
              </w:rPr>
              <w:t>1</w:t>
            </w:r>
            <w:r>
              <w:rPr>
                <w:rFonts w:hint="eastAsia" w:ascii="宋体" w:hAnsi="宋体" w:cs="宋体"/>
                <w:kern w:val="0"/>
                <w:szCs w:val="21"/>
              </w:rPr>
              <w:t>）投标人具备资质证书和资质等级包含</w:t>
            </w:r>
            <w:r>
              <w:rPr>
                <w:rFonts w:ascii="宋体" w:hAnsi="宋体" w:cs="宋体"/>
                <w:sz w:val="22"/>
              </w:rPr>
              <w:t>建筑行业（建筑工程）专业乙级</w:t>
            </w:r>
            <w:r>
              <w:rPr>
                <w:rFonts w:hint="eastAsia" w:ascii="宋体" w:hAnsi="宋体" w:cs="宋体"/>
                <w:sz w:val="22"/>
              </w:rPr>
              <w:t>或</w:t>
            </w:r>
            <w:r>
              <w:rPr>
                <w:rFonts w:ascii="宋体" w:hAnsi="宋体" w:cs="宋体"/>
                <w:sz w:val="22"/>
              </w:rPr>
              <w:t>以上</w:t>
            </w:r>
            <w:r>
              <w:rPr>
                <w:rFonts w:hint="eastAsia" w:ascii="宋体" w:hAnsi="宋体" w:cs="宋体"/>
                <w:sz w:val="22"/>
              </w:rPr>
              <w:t>、工程设计</w:t>
            </w:r>
            <w:r>
              <w:rPr>
                <w:rFonts w:ascii="宋体" w:hAnsi="宋体" w:cs="宋体"/>
                <w:sz w:val="22"/>
              </w:rPr>
              <w:t>市政行业（给水工程、排水工程）专业乙级</w:t>
            </w:r>
            <w:r>
              <w:rPr>
                <w:rFonts w:hint="eastAsia" w:ascii="宋体" w:hAnsi="宋体" w:cs="宋体"/>
                <w:sz w:val="22"/>
              </w:rPr>
              <w:t>或</w:t>
            </w:r>
            <w:r>
              <w:rPr>
                <w:rFonts w:ascii="宋体" w:hAnsi="宋体" w:cs="宋体"/>
                <w:sz w:val="22"/>
              </w:rPr>
              <w:t>以上</w:t>
            </w:r>
            <w:r>
              <w:rPr>
                <w:rFonts w:hint="eastAsia" w:ascii="宋体" w:hAnsi="宋体" w:cs="宋体"/>
                <w:sz w:val="22"/>
              </w:rPr>
              <w:t>、工程设计风景园林</w:t>
            </w:r>
            <w:r>
              <w:rPr>
                <w:rFonts w:ascii="宋体" w:hAnsi="宋体" w:cs="宋体"/>
                <w:sz w:val="22"/>
              </w:rPr>
              <w:t>工程</w:t>
            </w:r>
            <w:r>
              <w:rPr>
                <w:rFonts w:hint="eastAsia" w:ascii="宋体" w:hAnsi="宋体" w:cs="宋体"/>
                <w:sz w:val="22"/>
              </w:rPr>
              <w:t>设计专项</w:t>
            </w:r>
            <w:r>
              <w:rPr>
                <w:rFonts w:ascii="宋体" w:hAnsi="宋体" w:cs="宋体"/>
                <w:sz w:val="22"/>
              </w:rPr>
              <w:t>乙级</w:t>
            </w:r>
            <w:r>
              <w:rPr>
                <w:rFonts w:hint="eastAsia" w:ascii="宋体" w:hAnsi="宋体" w:cs="宋体"/>
                <w:sz w:val="22"/>
              </w:rPr>
              <w:t>或</w:t>
            </w:r>
            <w:r>
              <w:rPr>
                <w:rFonts w:ascii="宋体" w:hAnsi="宋体" w:cs="宋体"/>
                <w:sz w:val="22"/>
              </w:rPr>
              <w:t>以上</w:t>
            </w:r>
            <w:r>
              <w:rPr>
                <w:rFonts w:hint="eastAsia" w:ascii="宋体" w:hAnsi="宋体" w:cs="宋体"/>
                <w:sz w:val="22"/>
              </w:rPr>
              <w:t>、土地规划机构乙级或以上，</w:t>
            </w:r>
            <w:r>
              <w:rPr>
                <w:rFonts w:hint="eastAsia" w:ascii="宋体" w:hAnsi="宋体" w:cs="宋体"/>
                <w:kern w:val="0"/>
                <w:szCs w:val="21"/>
              </w:rPr>
              <w:t>每包含一项得2分，满分</w:t>
            </w:r>
            <w:r>
              <w:rPr>
                <w:rFonts w:ascii="宋体" w:hAnsi="宋体" w:cs="宋体"/>
                <w:kern w:val="0"/>
                <w:szCs w:val="21"/>
              </w:rPr>
              <w:t>8</w:t>
            </w:r>
            <w:r>
              <w:rPr>
                <w:rFonts w:hint="eastAsia" w:ascii="宋体" w:hAnsi="宋体" w:cs="宋体"/>
                <w:kern w:val="0"/>
                <w:szCs w:val="21"/>
              </w:rPr>
              <w:t>分。</w:t>
            </w:r>
            <w:r>
              <w:rPr>
                <w:rFonts w:hint="eastAsia" w:ascii="宋体" w:hAnsi="宋体" w:cs="宋体"/>
                <w:b/>
                <w:kern w:val="0"/>
                <w:szCs w:val="21"/>
              </w:rPr>
              <w:t>2、证明文件：</w:t>
            </w:r>
          </w:p>
          <w:p>
            <w:pPr>
              <w:jc w:val="left"/>
              <w:rPr>
                <w:rFonts w:ascii="宋体" w:hAnsi="宋体"/>
                <w:b/>
                <w:szCs w:val="21"/>
              </w:rPr>
            </w:pPr>
            <w:r>
              <w:rPr>
                <w:rFonts w:hint="eastAsia" w:ascii="宋体" w:hAnsi="宋体" w:cs="宋体"/>
                <w:kern w:val="0"/>
                <w:szCs w:val="21"/>
              </w:rPr>
              <w:t>投标人须提供以上有效期内的资质证书原件扫描件，原件备查。未提供证明文件者或提供的证明文件不清晰专家无法辨别的，不得分。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szCs w:val="21"/>
              </w:rPr>
            </w:pPr>
            <w:r>
              <w:rPr>
                <w:rFonts w:hint="eastAsia"/>
                <w:szCs w:val="21"/>
              </w:rPr>
              <w:t>3</w:t>
            </w:r>
          </w:p>
        </w:tc>
        <w:tc>
          <w:tcPr>
            <w:tcW w:w="2696"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szCs w:val="21"/>
              </w:rPr>
              <w:t>投标人认证情况</w:t>
            </w:r>
          </w:p>
        </w:tc>
        <w:tc>
          <w:tcPr>
            <w:tcW w:w="820"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szCs w:val="21"/>
              </w:rPr>
              <w:t>6</w:t>
            </w:r>
          </w:p>
        </w:tc>
        <w:tc>
          <w:tcPr>
            <w:tcW w:w="4446" w:type="dxa"/>
            <w:gridSpan w:val="2"/>
            <w:tcBorders>
              <w:top w:val="single" w:color="000000" w:sz="8" w:space="0"/>
              <w:left w:val="single" w:color="000000" w:sz="8" w:space="0"/>
              <w:bottom w:val="single" w:color="000000" w:sz="8" w:space="0"/>
              <w:right w:val="single" w:color="000000" w:sz="8" w:space="0"/>
            </w:tcBorders>
          </w:tcPr>
          <w:p>
            <w:pPr>
              <w:jc w:val="left"/>
              <w:rPr>
                <w:rFonts w:ascii="宋体" w:hAnsi="宋体"/>
                <w:b/>
                <w:bCs/>
                <w:szCs w:val="21"/>
              </w:rPr>
            </w:pPr>
            <w:r>
              <w:rPr>
                <w:rFonts w:hint="eastAsia" w:ascii="宋体" w:hAnsi="宋体"/>
                <w:b/>
                <w:bCs/>
                <w:szCs w:val="21"/>
              </w:rPr>
              <w:t>1、评审标准：</w:t>
            </w:r>
          </w:p>
          <w:p>
            <w:pPr>
              <w:wordWrap w:val="0"/>
              <w:rPr>
                <w:rFonts w:ascii="宋体" w:hAnsi="宋体" w:cs="宋体"/>
                <w:sz w:val="22"/>
              </w:rPr>
            </w:pPr>
            <w:r>
              <w:rPr>
                <w:rFonts w:hint="eastAsia"/>
                <w:szCs w:val="21"/>
              </w:rPr>
              <w:t>1）投标</w:t>
            </w:r>
            <w:r>
              <w:rPr>
                <w:szCs w:val="21"/>
              </w:rPr>
              <w:t>人</w:t>
            </w:r>
            <w:r>
              <w:rPr>
                <w:rFonts w:hint="eastAsia" w:ascii="宋体" w:hAnsi="宋体" w:cs="宋体"/>
                <w:sz w:val="22"/>
              </w:rPr>
              <w:t>通过质量管理体系认证、环境管理体系认证、职业健康安全管理体系认证的，得</w:t>
            </w:r>
            <w:r>
              <w:rPr>
                <w:rFonts w:ascii="宋体" w:hAnsi="宋体" w:cs="宋体"/>
                <w:sz w:val="22"/>
              </w:rPr>
              <w:t>3</w:t>
            </w:r>
            <w:r>
              <w:rPr>
                <w:rFonts w:hint="eastAsia" w:ascii="宋体" w:hAnsi="宋体" w:cs="宋体"/>
                <w:sz w:val="22"/>
              </w:rPr>
              <w:t>分</w:t>
            </w:r>
          </w:p>
          <w:p>
            <w:pPr>
              <w:wordWrap w:val="0"/>
              <w:rPr>
                <w:rFonts w:ascii="宋体" w:hAnsi="宋体" w:cs="宋体"/>
                <w:sz w:val="22"/>
              </w:rPr>
            </w:pPr>
            <w:r>
              <w:rPr>
                <w:rFonts w:ascii="宋体" w:hAnsi="宋体" w:cs="宋体"/>
                <w:sz w:val="22"/>
              </w:rPr>
              <w:t>2</w:t>
            </w:r>
            <w:r>
              <w:rPr>
                <w:rFonts w:hint="eastAsia" w:ascii="宋体" w:hAnsi="宋体" w:cs="宋体"/>
                <w:sz w:val="22"/>
              </w:rPr>
              <w:t>）投标人具有高新技术企业认证得</w:t>
            </w:r>
            <w:r>
              <w:rPr>
                <w:rFonts w:ascii="宋体" w:hAnsi="宋体" w:cs="宋体"/>
                <w:sz w:val="22"/>
                <w:u w:val="none"/>
              </w:rPr>
              <w:t>3</w:t>
            </w:r>
            <w:r>
              <w:rPr>
                <w:rFonts w:hint="eastAsia" w:ascii="宋体" w:hAnsi="宋体" w:cs="宋体"/>
                <w:sz w:val="22"/>
              </w:rPr>
              <w:t>分。</w:t>
            </w:r>
          </w:p>
          <w:p>
            <w:pPr>
              <w:wordWrap w:val="0"/>
              <w:rPr>
                <w:szCs w:val="21"/>
              </w:rPr>
            </w:pPr>
            <w:r>
              <w:rPr>
                <w:rFonts w:hint="eastAsia" w:ascii="宋体" w:hAnsi="宋体" w:cs="宋体"/>
                <w:sz w:val="22"/>
              </w:rPr>
              <w:t>3）</w:t>
            </w:r>
            <w:r>
              <w:rPr>
                <w:rFonts w:ascii="宋体" w:hAnsi="宋体" w:cs="宋体"/>
                <w:sz w:val="22"/>
              </w:rPr>
              <w:t>以上累计得分，满分</w:t>
            </w:r>
            <w:r>
              <w:rPr>
                <w:rFonts w:hint="eastAsia" w:ascii="宋体" w:hAnsi="宋体" w:cs="宋体"/>
                <w:sz w:val="22"/>
              </w:rPr>
              <w:t>6分</w:t>
            </w:r>
            <w:r>
              <w:rPr>
                <w:rFonts w:ascii="宋体" w:hAnsi="宋体" w:cs="宋体"/>
                <w:sz w:val="22"/>
              </w:rPr>
              <w:t>。</w:t>
            </w:r>
          </w:p>
          <w:p>
            <w:pPr>
              <w:rPr>
                <w:rFonts w:ascii="宋体" w:hAnsi="宋体"/>
                <w:b/>
                <w:szCs w:val="21"/>
              </w:rPr>
            </w:pPr>
            <w:r>
              <w:rPr>
                <w:rFonts w:hint="eastAsia" w:ascii="宋体" w:hAnsi="宋体" w:cs="宋体"/>
                <w:color w:val="FF0000"/>
                <w:kern w:val="0"/>
                <w:szCs w:val="21"/>
              </w:rPr>
              <w:t xml:space="preserve"> </w:t>
            </w:r>
            <w:r>
              <w:rPr>
                <w:rFonts w:hint="eastAsia" w:ascii="宋体" w:hAnsi="宋体"/>
                <w:b/>
                <w:szCs w:val="21"/>
              </w:rPr>
              <w:t>2、证明文件：</w:t>
            </w:r>
          </w:p>
          <w:p>
            <w:pPr>
              <w:numPr>
                <w:ilvl w:val="0"/>
                <w:numId w:val="4"/>
              </w:numPr>
              <w:ind w:left="0" w:hanging="318"/>
              <w:jc w:val="left"/>
              <w:rPr>
                <w:rFonts w:ascii="宋体" w:hAnsi="宋体"/>
                <w:b/>
                <w:szCs w:val="21"/>
              </w:rPr>
            </w:pPr>
            <w:r>
              <w:rPr>
                <w:rFonts w:hint="eastAsia"/>
                <w:szCs w:val="21"/>
              </w:rPr>
              <w:t>投标人须提供以上有效期内的证书原件扫描件，</w:t>
            </w:r>
            <w:r>
              <w:rPr>
                <w:szCs w:val="21"/>
              </w:rPr>
              <w:t>原件备查。未提供证明文件者或提供的证明文件不清晰专家无法辨别的</w:t>
            </w:r>
            <w:r>
              <w:rPr>
                <w:rFonts w:hint="eastAsia"/>
                <w:szCs w:val="21"/>
              </w:rPr>
              <w:t>，</w:t>
            </w:r>
            <w:r>
              <w:rPr>
                <w:szCs w:val="21"/>
              </w:rPr>
              <w:t>不得分</w:t>
            </w: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szCs w:val="21"/>
              </w:rPr>
            </w:pPr>
            <w:r>
              <w:rPr>
                <w:szCs w:val="21"/>
              </w:rPr>
              <w:t>4</w:t>
            </w:r>
          </w:p>
        </w:tc>
        <w:tc>
          <w:tcPr>
            <w:tcW w:w="2696"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szCs w:val="21"/>
              </w:rPr>
              <w:t>投标人荣誉情况</w:t>
            </w:r>
          </w:p>
        </w:tc>
        <w:tc>
          <w:tcPr>
            <w:tcW w:w="820"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ascii="宋体" w:hAnsi="宋体" w:cs="宋体"/>
                <w:szCs w:val="21"/>
              </w:rPr>
              <w:t>6</w:t>
            </w:r>
          </w:p>
        </w:tc>
        <w:tc>
          <w:tcPr>
            <w:tcW w:w="4446" w:type="dxa"/>
            <w:gridSpan w:val="2"/>
            <w:tcBorders>
              <w:top w:val="single" w:color="000000" w:sz="8" w:space="0"/>
              <w:left w:val="single" w:color="000000" w:sz="8" w:space="0"/>
              <w:bottom w:val="single" w:color="000000" w:sz="8" w:space="0"/>
              <w:right w:val="single" w:color="000000" w:sz="8" w:space="0"/>
            </w:tcBorders>
          </w:tcPr>
          <w:p>
            <w:pPr>
              <w:jc w:val="left"/>
              <w:rPr>
                <w:rFonts w:ascii="宋体" w:hAnsi="宋体"/>
                <w:b/>
                <w:bCs/>
                <w:szCs w:val="21"/>
              </w:rPr>
            </w:pPr>
            <w:r>
              <w:rPr>
                <w:rFonts w:hint="eastAsia" w:ascii="宋体" w:hAnsi="宋体"/>
                <w:b/>
                <w:bCs/>
                <w:szCs w:val="21"/>
              </w:rPr>
              <w:t>1、评审标准：</w:t>
            </w:r>
          </w:p>
          <w:p>
            <w:pPr>
              <w:wordWrap w:val="0"/>
              <w:rPr>
                <w:szCs w:val="21"/>
              </w:rPr>
            </w:pPr>
            <w:r>
              <w:rPr>
                <w:szCs w:val="21"/>
              </w:rPr>
              <w:t>投标人</w:t>
            </w:r>
            <w:r>
              <w:rPr>
                <w:rFonts w:hint="eastAsia"/>
                <w:szCs w:val="21"/>
              </w:rPr>
              <w:t>自</w:t>
            </w:r>
            <w:r>
              <w:rPr>
                <w:szCs w:val="21"/>
              </w:rPr>
              <w:t>201</w:t>
            </w:r>
            <w:r>
              <w:rPr>
                <w:rFonts w:hint="eastAsia"/>
                <w:szCs w:val="21"/>
              </w:rPr>
              <w:t>8</w:t>
            </w:r>
            <w:r>
              <w:rPr>
                <w:szCs w:val="21"/>
              </w:rPr>
              <w:t>年1月1日至</w:t>
            </w:r>
            <w:r>
              <w:rPr>
                <w:rFonts w:hint="eastAsia"/>
                <w:szCs w:val="21"/>
              </w:rPr>
              <w:t>本项目</w:t>
            </w:r>
            <w:r>
              <w:rPr>
                <w:szCs w:val="21"/>
              </w:rPr>
              <w:t>投标截止</w:t>
            </w:r>
            <w:r>
              <w:rPr>
                <w:rFonts w:hint="eastAsia"/>
                <w:szCs w:val="21"/>
              </w:rPr>
              <w:t xml:space="preserve">日止，承接的城市（乡）规划设计类项目获得中国城市规划协会颁布的城市（乡）规划类奖项一、二、三等奖的，每个得 </w:t>
            </w:r>
            <w:r>
              <w:rPr>
                <w:szCs w:val="21"/>
              </w:rPr>
              <w:t>1</w:t>
            </w:r>
            <w:r>
              <w:rPr>
                <w:rFonts w:hint="eastAsia"/>
                <w:szCs w:val="21"/>
              </w:rPr>
              <w:t>分。</w:t>
            </w:r>
            <w:r>
              <w:rPr>
                <w:szCs w:val="21"/>
              </w:rPr>
              <w:t>以上累计得分，满分6</w:t>
            </w:r>
            <w:r>
              <w:rPr>
                <w:rFonts w:hint="eastAsia"/>
                <w:szCs w:val="21"/>
              </w:rPr>
              <w:t>分</w:t>
            </w:r>
            <w:r>
              <w:rPr>
                <w:szCs w:val="21"/>
              </w:rPr>
              <w:t>。</w:t>
            </w:r>
          </w:p>
          <w:p>
            <w:pPr>
              <w:rPr>
                <w:rFonts w:ascii="宋体" w:hAnsi="宋体"/>
                <w:b/>
                <w:szCs w:val="21"/>
              </w:rPr>
            </w:pPr>
            <w:r>
              <w:rPr>
                <w:rFonts w:hint="eastAsia" w:ascii="宋体" w:hAnsi="宋体" w:cs="宋体"/>
                <w:color w:val="FF0000"/>
                <w:kern w:val="0"/>
                <w:szCs w:val="21"/>
              </w:rPr>
              <w:t xml:space="preserve"> </w:t>
            </w:r>
            <w:r>
              <w:rPr>
                <w:rFonts w:hint="eastAsia" w:ascii="宋体" w:hAnsi="宋体"/>
                <w:b/>
                <w:szCs w:val="21"/>
              </w:rPr>
              <w:t>2、证明文件：</w:t>
            </w:r>
          </w:p>
          <w:p>
            <w:pPr>
              <w:numPr>
                <w:ilvl w:val="0"/>
                <w:numId w:val="4"/>
              </w:numPr>
              <w:ind w:left="0" w:hanging="318"/>
              <w:jc w:val="left"/>
              <w:rPr>
                <w:rFonts w:ascii="宋体" w:hAnsi="宋体"/>
                <w:b/>
                <w:szCs w:val="21"/>
              </w:rPr>
            </w:pPr>
            <w:r>
              <w:rPr>
                <w:rFonts w:hint="eastAsia" w:ascii="宋体" w:hAnsi="宋体"/>
                <w:szCs w:val="21"/>
              </w:rPr>
              <w:t>投标人须提供项目</w:t>
            </w:r>
            <w:r>
              <w:rPr>
                <w:rFonts w:hint="eastAsia" w:ascii="宋体" w:hAnsi="宋体" w:cs="宋体"/>
                <w:sz w:val="22"/>
              </w:rPr>
              <w:t>获奖证书</w:t>
            </w:r>
            <w:r>
              <w:rPr>
                <w:rFonts w:hint="eastAsia" w:ascii="宋体" w:hAnsi="宋体"/>
                <w:szCs w:val="21"/>
              </w:rPr>
              <w:t>原件扫描件，原件备查。</w:t>
            </w:r>
            <w:r>
              <w:rPr>
                <w:rFonts w:hint="eastAsia" w:ascii="宋体" w:hAnsi="宋体" w:cs="宋体"/>
                <w:szCs w:val="21"/>
              </w:rPr>
              <w:t>以获奖证书获奖</w:t>
            </w:r>
            <w:r>
              <w:rPr>
                <w:rFonts w:ascii="宋体" w:hAnsi="宋体" w:cs="宋体"/>
                <w:szCs w:val="21"/>
              </w:rPr>
              <w:t>年份</w:t>
            </w:r>
            <w:r>
              <w:rPr>
                <w:rFonts w:hint="eastAsia" w:ascii="宋体" w:hAnsi="宋体" w:cs="宋体"/>
                <w:szCs w:val="21"/>
              </w:rPr>
              <w:t>时间为准</w:t>
            </w:r>
            <w:r>
              <w:rPr>
                <w:rFonts w:hint="eastAsia" w:ascii="宋体" w:hAnsi="宋体"/>
                <w:szCs w:val="21"/>
              </w:rPr>
              <w:t>。</w:t>
            </w:r>
            <w:r>
              <w:rPr>
                <w:rFonts w:hint="eastAsia" w:ascii="宋体" w:hAnsi="宋体" w:cs="宋体"/>
                <w:szCs w:val="21"/>
              </w:rPr>
              <w:t>若投标人同一项目同时获得多个奖项，以最高得分计取。</w:t>
            </w:r>
            <w:r>
              <w:rPr>
                <w:szCs w:val="21"/>
              </w:rPr>
              <w:t>未提供证明文件者或提供的证明文件不清晰专家无法辨别的</w:t>
            </w:r>
            <w:r>
              <w:rPr>
                <w:rFonts w:hint="eastAsia"/>
                <w:szCs w:val="21"/>
              </w:rPr>
              <w:t>，不得分</w:t>
            </w: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right w:val="single" w:color="000000" w:sz="8" w:space="0"/>
            </w:tcBorders>
          </w:tcPr>
          <w:p>
            <w:pPr>
              <w:jc w:val="center"/>
              <w:rPr>
                <w:rFonts w:ascii="宋体" w:hAnsi="宋体" w:cs="宋体"/>
                <w:b/>
                <w:bCs/>
                <w:color w:val="0000FF"/>
                <w:sz w:val="24"/>
              </w:rPr>
            </w:pPr>
            <w:r>
              <w:rPr>
                <w:b/>
                <w:bCs/>
                <w:color w:val="0000FF"/>
              </w:rPr>
              <w:t>3</w:t>
            </w:r>
          </w:p>
        </w:tc>
        <w:tc>
          <w:tcPr>
            <w:tcW w:w="4196" w:type="dxa"/>
            <w:gridSpan w:val="5"/>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color w:val="0000FF"/>
                <w:sz w:val="24"/>
              </w:rPr>
            </w:pPr>
            <w:r>
              <w:rPr>
                <w:b/>
                <w:bCs/>
                <w:color w:val="0000FF"/>
              </w:rPr>
              <w:t>技术部分</w:t>
            </w:r>
          </w:p>
        </w:tc>
        <w:tc>
          <w:tcPr>
            <w:tcW w:w="4446" w:type="dxa"/>
            <w:gridSpan w:val="2"/>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color w:val="0000FF"/>
                <w:sz w:val="24"/>
              </w:rPr>
            </w:pPr>
            <w:r>
              <w:rPr>
                <w:rFonts w:hint="eastAsia" w:ascii="宋体" w:hAnsi="宋体" w:cs="宋体"/>
                <w:b/>
                <w:bCs/>
                <w:color w:val="0000FF"/>
                <w:sz w:val="24"/>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序号</w:t>
            </w:r>
          </w:p>
        </w:tc>
        <w:tc>
          <w:tcPr>
            <w:tcW w:w="2726"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评分因素</w:t>
            </w:r>
          </w:p>
        </w:tc>
        <w:tc>
          <w:tcPr>
            <w:tcW w:w="842"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分值范围</w:t>
            </w:r>
          </w:p>
        </w:tc>
        <w:tc>
          <w:tcPr>
            <w:tcW w:w="4394"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szCs w:val="21"/>
              </w:rPr>
            </w:pPr>
            <w:r>
              <w:rPr>
                <w:szCs w:val="21"/>
              </w:rPr>
              <w:t>1</w:t>
            </w:r>
          </w:p>
        </w:tc>
        <w:tc>
          <w:tcPr>
            <w:tcW w:w="272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szCs w:val="21"/>
              </w:rPr>
            </w:pPr>
            <w:r>
              <w:rPr>
                <w:rFonts w:hint="eastAsia" w:ascii="宋体" w:hAnsi="宋体"/>
                <w:szCs w:val="21"/>
              </w:rPr>
              <w:t>对项目的认识与理解</w:t>
            </w:r>
          </w:p>
        </w:tc>
        <w:tc>
          <w:tcPr>
            <w:tcW w:w="84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cs="宋体"/>
                <w:szCs w:val="21"/>
              </w:rPr>
            </w:pPr>
            <w:r>
              <w:rPr>
                <w:rFonts w:hint="eastAsia" w:ascii="宋体" w:hAnsi="宋体" w:cs="宋体"/>
                <w:szCs w:val="21"/>
              </w:rPr>
              <w:t>5</w:t>
            </w:r>
          </w:p>
        </w:tc>
        <w:tc>
          <w:tcPr>
            <w:tcW w:w="4394"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szCs w:val="21"/>
              </w:rPr>
            </w:pPr>
            <w:r>
              <w:rPr>
                <w:rFonts w:hint="eastAsia" w:ascii="Times New Roman" w:hAnsi="Times New Roman"/>
                <w:szCs w:val="21"/>
              </w:rPr>
              <w:t>评委横向</w:t>
            </w:r>
            <w:r>
              <w:rPr>
                <w:rFonts w:ascii="Times New Roman" w:hAnsi="Times New Roman"/>
                <w:szCs w:val="21"/>
              </w:rPr>
              <w:t>比较投标服务方案中</w:t>
            </w:r>
            <w:r>
              <w:rPr>
                <w:rFonts w:hint="eastAsia" w:ascii="Times New Roman" w:hAnsi="Times New Roman"/>
                <w:szCs w:val="21"/>
              </w:rPr>
              <w:t>对</w:t>
            </w:r>
            <w:r>
              <w:rPr>
                <w:rFonts w:ascii="Times New Roman" w:hAnsi="Times New Roman"/>
                <w:szCs w:val="21"/>
              </w:rPr>
              <w:t>项目</w:t>
            </w:r>
            <w:r>
              <w:rPr>
                <w:rFonts w:hint="eastAsia" w:ascii="宋体" w:hAnsi="宋体"/>
                <w:szCs w:val="21"/>
              </w:rPr>
              <w:t>编制的必要性、</w:t>
            </w:r>
            <w:r>
              <w:rPr>
                <w:rFonts w:hint="eastAsia" w:ascii="Times New Roman" w:hAnsi="Times New Roman"/>
                <w:szCs w:val="21"/>
              </w:rPr>
              <w:t>相关规划收集和解读、现状场地情况的了解程度以及对工作目的的把握清晰、</w:t>
            </w:r>
            <w:r>
              <w:rPr>
                <w:rFonts w:ascii="Times New Roman" w:hAnsi="Times New Roman"/>
                <w:szCs w:val="21"/>
              </w:rPr>
              <w:t>准确程度。</w:t>
            </w:r>
            <w:r>
              <w:rPr>
                <w:rFonts w:hint="eastAsia" w:ascii="宋体" w:hAnsi="宋体" w:cs="宋体"/>
                <w:kern w:val="0"/>
                <w:szCs w:val="21"/>
              </w:rPr>
              <w:t>对本项目需求的理解全面、深刻并有充分认识，完全了解本项目的工作目的、内容及要求，相关规划收集及解读全面，现状场地分析充分，为</w:t>
            </w:r>
            <w:r>
              <w:rPr>
                <w:rFonts w:hint="eastAsia" w:ascii="Times New Roman" w:hAnsi="Times New Roman"/>
                <w:szCs w:val="21"/>
              </w:rPr>
              <w:t>第一名得</w:t>
            </w:r>
            <w:r>
              <w:rPr>
                <w:rFonts w:hint="eastAsia" w:asciiTheme="minorEastAsia" w:hAnsiTheme="minorEastAsia"/>
                <w:szCs w:val="21"/>
              </w:rPr>
              <w:t>5</w:t>
            </w:r>
            <w:r>
              <w:rPr>
                <w:rFonts w:hint="eastAsia" w:ascii="Times New Roman" w:hAnsi="Times New Roman"/>
                <w:szCs w:val="21"/>
              </w:rPr>
              <w:t>分；</w:t>
            </w:r>
            <w:r>
              <w:rPr>
                <w:rFonts w:hint="eastAsia" w:ascii="宋体" w:hAnsi="宋体" w:cs="宋体"/>
                <w:kern w:val="0"/>
                <w:szCs w:val="21"/>
              </w:rPr>
              <w:t>对本项目需求的理解较全面、深刻并有较充分认识，了解本项目的工作目的、内容及要求，相关规划收集及解读较全面，现状场地分析较充分，为</w:t>
            </w:r>
            <w:r>
              <w:rPr>
                <w:rFonts w:hint="eastAsia" w:ascii="Times New Roman" w:hAnsi="Times New Roman"/>
                <w:szCs w:val="21"/>
              </w:rPr>
              <w:t>第二名得4分；</w:t>
            </w:r>
            <w:r>
              <w:rPr>
                <w:rFonts w:hint="eastAsia" w:ascii="宋体" w:hAnsi="宋体" w:cs="宋体"/>
                <w:kern w:val="0"/>
                <w:szCs w:val="21"/>
              </w:rPr>
              <w:t>对本项目需求的理解基本准确、具有一定的认识，基本了解本项目的工作目的、内容及要求，相关规划收集基本全面，现状场地分析基本到位，为</w:t>
            </w:r>
            <w:r>
              <w:rPr>
                <w:rFonts w:hint="eastAsia" w:ascii="Times New Roman" w:hAnsi="Times New Roman"/>
                <w:szCs w:val="21"/>
              </w:rPr>
              <w:t>第三名得3分；</w:t>
            </w:r>
            <w:r>
              <w:rPr>
                <w:rFonts w:hint="eastAsia" w:ascii="宋体" w:hAnsi="宋体" w:cs="宋体"/>
                <w:kern w:val="0"/>
                <w:szCs w:val="21"/>
              </w:rPr>
              <w:t>对本项目需求的理解一般、认识不够到位，不够了解本项目的工作目的、内容及要求，相关规划解读及现状场地分析不到位，为</w:t>
            </w:r>
            <w:r>
              <w:rPr>
                <w:rFonts w:hint="eastAsia" w:ascii="Times New Roman" w:hAnsi="Times New Roman"/>
                <w:szCs w:val="21"/>
              </w:rPr>
              <w:t>第四名得2分。</w:t>
            </w:r>
            <w:r>
              <w:rPr>
                <w:rFonts w:hint="eastAsia" w:ascii="宋体" w:hAnsi="宋体" w:cs="宋体"/>
                <w:kern w:val="0"/>
                <w:szCs w:val="21"/>
              </w:rPr>
              <w:t>投标文件中未体现以上内容或提供不清晰导致评标委员会无法判断的不得分。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szCs w:val="21"/>
              </w:rPr>
            </w:pPr>
            <w:r>
              <w:rPr>
                <w:rFonts w:hint="eastAsia" w:ascii="宋体" w:hAnsi="宋体" w:cs="宋体"/>
                <w:szCs w:val="21"/>
              </w:rPr>
              <w:t>2</w:t>
            </w:r>
          </w:p>
        </w:tc>
        <w:tc>
          <w:tcPr>
            <w:tcW w:w="272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szCs w:val="21"/>
              </w:rPr>
            </w:pPr>
            <w:r>
              <w:rPr>
                <w:rFonts w:hint="eastAsia" w:ascii="宋体" w:hAnsi="宋体"/>
                <w:szCs w:val="21"/>
              </w:rPr>
              <w:t>研究思路、研究方法</w:t>
            </w:r>
          </w:p>
        </w:tc>
        <w:tc>
          <w:tcPr>
            <w:tcW w:w="84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cs="宋体"/>
                <w:szCs w:val="21"/>
              </w:rPr>
            </w:pPr>
            <w:r>
              <w:rPr>
                <w:rFonts w:hint="eastAsia" w:ascii="宋体" w:hAnsi="宋体" w:cs="宋体"/>
                <w:szCs w:val="21"/>
              </w:rPr>
              <w:t>5</w:t>
            </w:r>
          </w:p>
        </w:tc>
        <w:tc>
          <w:tcPr>
            <w:tcW w:w="4394"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szCs w:val="21"/>
              </w:rPr>
            </w:pPr>
            <w:r>
              <w:rPr>
                <w:rFonts w:hint="eastAsia" w:ascii="宋体" w:hAnsi="宋体"/>
                <w:szCs w:val="21"/>
              </w:rPr>
              <w:t>评委横向比较</w:t>
            </w:r>
            <w:r>
              <w:rPr>
                <w:rFonts w:hint="eastAsia" w:ascii="宋体" w:hAnsi="宋体" w:cs="宋体"/>
                <w:kern w:val="0"/>
                <w:szCs w:val="21"/>
              </w:rPr>
              <w:t>投标方案中研究思路、研究方法合理性及可行性。对本项目研究思路清晰，研究方法科学合理，可行性高，符合项目特征，为</w:t>
            </w:r>
            <w:r>
              <w:rPr>
                <w:rFonts w:hint="eastAsia" w:ascii="Times New Roman" w:hAnsi="Times New Roman"/>
                <w:szCs w:val="21"/>
              </w:rPr>
              <w:t>第一名得5分；</w:t>
            </w:r>
            <w:r>
              <w:rPr>
                <w:rFonts w:hint="eastAsia" w:ascii="宋体" w:hAnsi="宋体" w:cs="宋体"/>
                <w:kern w:val="0"/>
                <w:szCs w:val="21"/>
              </w:rPr>
              <w:t>对本项目研究思路较清晰，研究方法较合理，可行性较高，较符合项目特征，为</w:t>
            </w:r>
            <w:r>
              <w:rPr>
                <w:rFonts w:hint="eastAsia" w:ascii="Times New Roman" w:hAnsi="Times New Roman"/>
                <w:szCs w:val="21"/>
              </w:rPr>
              <w:t>第二名得4分；</w:t>
            </w:r>
            <w:r>
              <w:rPr>
                <w:rFonts w:hint="eastAsia" w:ascii="宋体" w:hAnsi="宋体" w:cs="宋体"/>
                <w:kern w:val="0"/>
                <w:szCs w:val="21"/>
              </w:rPr>
              <w:t>对本项目研究思路基本清晰，研究方法基本合理，基本符合项目特征，为</w:t>
            </w:r>
            <w:r>
              <w:rPr>
                <w:rFonts w:hint="eastAsia" w:ascii="Times New Roman" w:hAnsi="Times New Roman"/>
                <w:szCs w:val="21"/>
              </w:rPr>
              <w:t>第三名得3分；</w:t>
            </w:r>
            <w:r>
              <w:rPr>
                <w:rFonts w:hint="eastAsia" w:ascii="宋体" w:hAnsi="宋体" w:cs="宋体"/>
                <w:kern w:val="0"/>
                <w:szCs w:val="21"/>
              </w:rPr>
              <w:t>对本项目研究思路不明确，研究方法较不合理，可行性不高，不符合本项目特征，为</w:t>
            </w:r>
            <w:r>
              <w:rPr>
                <w:rFonts w:hint="eastAsia" w:ascii="Times New Roman" w:hAnsi="Times New Roman"/>
                <w:szCs w:val="21"/>
              </w:rPr>
              <w:t>第四名得2分。</w:t>
            </w:r>
            <w:r>
              <w:rPr>
                <w:rFonts w:hint="eastAsia" w:ascii="宋体" w:hAnsi="宋体" w:cs="宋体"/>
                <w:kern w:val="0"/>
                <w:szCs w:val="21"/>
              </w:rPr>
              <w:t>投标文件中未体现以上内容或提供不清晰导致评标委员会无法判断的不得分。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szCs w:val="21"/>
              </w:rPr>
            </w:pPr>
            <w:r>
              <w:rPr>
                <w:rFonts w:hint="eastAsia" w:ascii="宋体" w:hAnsi="宋体" w:cs="宋体"/>
                <w:szCs w:val="21"/>
              </w:rPr>
              <w:t>3</w:t>
            </w:r>
          </w:p>
        </w:tc>
        <w:tc>
          <w:tcPr>
            <w:tcW w:w="272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szCs w:val="21"/>
              </w:rPr>
            </w:pPr>
            <w:r>
              <w:rPr>
                <w:rFonts w:hint="eastAsia" w:ascii="宋体" w:hAnsi="宋体"/>
                <w:szCs w:val="21"/>
              </w:rPr>
              <w:t>工作内容及工作深度评价</w:t>
            </w:r>
          </w:p>
        </w:tc>
        <w:tc>
          <w:tcPr>
            <w:tcW w:w="84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cs="宋体"/>
                <w:szCs w:val="21"/>
              </w:rPr>
            </w:pPr>
            <w:r>
              <w:rPr>
                <w:rFonts w:hint="eastAsia" w:ascii="宋体" w:hAnsi="宋体" w:cs="宋体"/>
                <w:szCs w:val="21"/>
              </w:rPr>
              <w:t>8</w:t>
            </w:r>
          </w:p>
        </w:tc>
        <w:tc>
          <w:tcPr>
            <w:tcW w:w="4394"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szCs w:val="21"/>
              </w:rPr>
            </w:pPr>
            <w:r>
              <w:rPr>
                <w:rFonts w:hint="eastAsia" w:ascii="Times New Roman" w:hAnsi="Times New Roman"/>
                <w:szCs w:val="21"/>
              </w:rPr>
              <w:t>评委横向比较</w:t>
            </w:r>
            <w:r>
              <w:rPr>
                <w:rFonts w:ascii="Times New Roman" w:hAnsi="Times New Roman"/>
                <w:szCs w:val="21"/>
              </w:rPr>
              <w:t>投标服务方案</w:t>
            </w:r>
            <w:r>
              <w:rPr>
                <w:rFonts w:hint="eastAsia" w:ascii="Times New Roman" w:hAnsi="Times New Roman"/>
                <w:szCs w:val="21"/>
              </w:rPr>
              <w:t>中</w:t>
            </w:r>
            <w:r>
              <w:rPr>
                <w:rFonts w:ascii="Times New Roman" w:hAnsi="Times New Roman"/>
                <w:szCs w:val="21"/>
              </w:rPr>
              <w:t>本项目工作内容的完整性</w:t>
            </w:r>
            <w:r>
              <w:rPr>
                <w:rFonts w:hint="eastAsia" w:ascii="Times New Roman" w:hAnsi="Times New Roman"/>
                <w:szCs w:val="21"/>
              </w:rPr>
              <w:t>、深度</w:t>
            </w:r>
            <w:r>
              <w:rPr>
                <w:rFonts w:ascii="Times New Roman" w:hAnsi="Times New Roman"/>
                <w:szCs w:val="21"/>
              </w:rPr>
              <w:t>及满足采购需求响应情况</w:t>
            </w:r>
            <w:r>
              <w:rPr>
                <w:rFonts w:hint="eastAsia" w:ascii="Times New Roman" w:hAnsi="Times New Roman"/>
                <w:szCs w:val="21"/>
              </w:rPr>
              <w:t>（包括</w:t>
            </w:r>
            <w:r>
              <w:rPr>
                <w:rFonts w:hint="eastAsia" w:ascii="宋体" w:hAnsi="宋体"/>
                <w:szCs w:val="21"/>
              </w:rPr>
              <w:t>现状条件及分析，总体布局规划，重点片区详细规划，实施策略及建议等方面工作内容）</w:t>
            </w:r>
            <w:r>
              <w:rPr>
                <w:rFonts w:ascii="Times New Roman" w:hAnsi="Times New Roman"/>
                <w:szCs w:val="21"/>
              </w:rPr>
              <w:t>。</w:t>
            </w:r>
            <w:r>
              <w:rPr>
                <w:rFonts w:hint="eastAsia" w:ascii="宋体" w:hAnsi="宋体" w:cs="宋体"/>
                <w:kern w:val="0"/>
                <w:szCs w:val="21"/>
              </w:rPr>
              <w:t>对本项目工作内容全面、完整，工作深入，完全响应采购需求，为</w:t>
            </w:r>
            <w:r>
              <w:rPr>
                <w:rFonts w:hint="eastAsia" w:ascii="Times New Roman" w:hAnsi="Times New Roman"/>
                <w:szCs w:val="21"/>
              </w:rPr>
              <w:t>第一名得8分，对本项目工作内容较全面，工作较深入，</w:t>
            </w:r>
            <w:r>
              <w:rPr>
                <w:rFonts w:hint="eastAsia" w:ascii="宋体" w:hAnsi="宋体" w:cs="宋体"/>
                <w:kern w:val="0"/>
                <w:szCs w:val="21"/>
              </w:rPr>
              <w:t>较</w:t>
            </w:r>
            <w:r>
              <w:rPr>
                <w:rFonts w:hint="eastAsia" w:ascii="Times New Roman" w:hAnsi="Times New Roman"/>
                <w:szCs w:val="21"/>
              </w:rPr>
              <w:t>响应</w:t>
            </w:r>
            <w:r>
              <w:rPr>
                <w:rFonts w:hint="eastAsia" w:ascii="宋体" w:hAnsi="宋体" w:cs="宋体"/>
                <w:kern w:val="0"/>
                <w:szCs w:val="21"/>
              </w:rPr>
              <w:t>采购需求，为</w:t>
            </w:r>
            <w:r>
              <w:rPr>
                <w:rFonts w:hint="eastAsia" w:ascii="Times New Roman" w:hAnsi="Times New Roman"/>
                <w:szCs w:val="21"/>
              </w:rPr>
              <w:t>第二名得6分，对本项目工作内容基本完整，工作深度基本符合要求，基本响应采购需求，为第三名得4分，对本项目工作内容不全，工作深度不够，未完全响应采购需求，为第四名得2分。</w:t>
            </w:r>
            <w:r>
              <w:rPr>
                <w:rFonts w:hint="eastAsia" w:ascii="宋体" w:hAnsi="宋体" w:cs="宋体"/>
                <w:kern w:val="0"/>
                <w:szCs w:val="21"/>
              </w:rPr>
              <w:t>投标文件中未体现以上内容或提供不清晰导致评标委员会无法判断的不得分。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szCs w:val="21"/>
              </w:rPr>
            </w:pPr>
            <w:r>
              <w:rPr>
                <w:szCs w:val="21"/>
              </w:rPr>
              <w:t>4</w:t>
            </w:r>
          </w:p>
        </w:tc>
        <w:tc>
          <w:tcPr>
            <w:tcW w:w="272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szCs w:val="21"/>
              </w:rPr>
            </w:pPr>
            <w:r>
              <w:rPr>
                <w:rFonts w:hint="eastAsia"/>
                <w:szCs w:val="21"/>
              </w:rPr>
              <w:t>重点难点分析、应对措施及合理化建议</w:t>
            </w:r>
          </w:p>
          <w:p>
            <w:pPr>
              <w:jc w:val="center"/>
              <w:rPr>
                <w:szCs w:val="21"/>
              </w:rPr>
            </w:pPr>
          </w:p>
        </w:tc>
        <w:tc>
          <w:tcPr>
            <w:tcW w:w="84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cs="宋体"/>
                <w:szCs w:val="21"/>
              </w:rPr>
            </w:pPr>
            <w:r>
              <w:rPr>
                <w:rFonts w:hint="eastAsia" w:ascii="宋体" w:hAnsi="宋体"/>
                <w:szCs w:val="21"/>
              </w:rPr>
              <w:t>8</w:t>
            </w:r>
          </w:p>
        </w:tc>
        <w:tc>
          <w:tcPr>
            <w:tcW w:w="4394"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cs="宋体"/>
                <w:kern w:val="0"/>
                <w:szCs w:val="21"/>
              </w:rPr>
            </w:pPr>
            <w:r>
              <w:rPr>
                <w:rFonts w:hint="eastAsia" w:ascii="宋体" w:hAnsi="宋体"/>
                <w:szCs w:val="21"/>
              </w:rPr>
              <w:t>评委横向比较</w:t>
            </w:r>
            <w:r>
              <w:rPr>
                <w:rFonts w:ascii="Times New Roman" w:hAnsi="Times New Roman"/>
                <w:szCs w:val="21"/>
              </w:rPr>
              <w:t>投标服务方案</w:t>
            </w:r>
            <w:r>
              <w:rPr>
                <w:rFonts w:hint="eastAsia" w:ascii="Times New Roman" w:hAnsi="Times New Roman"/>
                <w:szCs w:val="21"/>
              </w:rPr>
              <w:t>中关于项目重点难点的分析准确程度，应对措施合理程度。</w:t>
            </w:r>
            <w:r>
              <w:rPr>
                <w:rFonts w:hint="eastAsia" w:ascii="宋体" w:hAnsi="宋体" w:cs="宋体"/>
                <w:kern w:val="0"/>
                <w:szCs w:val="21"/>
              </w:rPr>
              <w:t>分析及应对措施科学合理，切实可行，</w:t>
            </w:r>
            <w:r>
              <w:rPr>
                <w:rFonts w:hint="eastAsia" w:ascii="宋体" w:cs="宋体"/>
                <w:kern w:val="0"/>
                <w:szCs w:val="21"/>
              </w:rPr>
              <w:t>为</w:t>
            </w:r>
            <w:r>
              <w:rPr>
                <w:rFonts w:hint="eastAsia" w:ascii="Times New Roman" w:hAnsi="Times New Roman"/>
                <w:szCs w:val="21"/>
              </w:rPr>
              <w:t>第一名得8分；</w:t>
            </w:r>
            <w:r>
              <w:rPr>
                <w:rFonts w:hint="eastAsia" w:ascii="宋体" w:hAnsi="宋体" w:cs="宋体"/>
                <w:kern w:val="0"/>
                <w:szCs w:val="21"/>
              </w:rPr>
              <w:t>分析及应对措施完整，有一定可行性，为</w:t>
            </w:r>
            <w:r>
              <w:rPr>
                <w:rFonts w:hint="eastAsia" w:ascii="Times New Roman" w:hAnsi="Times New Roman"/>
                <w:szCs w:val="21"/>
              </w:rPr>
              <w:t>第二名得6分；</w:t>
            </w:r>
            <w:r>
              <w:rPr>
                <w:rFonts w:hint="eastAsia" w:ascii="宋体" w:hAnsi="宋体" w:cs="宋体"/>
                <w:kern w:val="0"/>
                <w:szCs w:val="21"/>
              </w:rPr>
              <w:t>分析及应对措施较完整，可行性一般，为</w:t>
            </w:r>
            <w:r>
              <w:rPr>
                <w:rFonts w:hint="eastAsia" w:ascii="Times New Roman" w:hAnsi="Times New Roman"/>
                <w:szCs w:val="21"/>
              </w:rPr>
              <w:t>第三名得4分；</w:t>
            </w:r>
            <w:r>
              <w:rPr>
                <w:rFonts w:hint="eastAsia" w:ascii="宋体" w:hAnsi="宋体" w:cs="宋体"/>
                <w:kern w:val="0"/>
                <w:szCs w:val="21"/>
              </w:rPr>
              <w:t>分析及应对措施不完整，可行性差，为</w:t>
            </w:r>
            <w:r>
              <w:rPr>
                <w:rFonts w:hint="eastAsia" w:ascii="Times New Roman" w:hAnsi="Times New Roman"/>
                <w:szCs w:val="21"/>
              </w:rPr>
              <w:t>第四名得2分。</w:t>
            </w:r>
            <w:r>
              <w:rPr>
                <w:rFonts w:hint="eastAsia" w:ascii="宋体" w:hAnsi="宋体" w:cs="宋体"/>
                <w:kern w:val="0"/>
                <w:szCs w:val="21"/>
              </w:rPr>
              <w:t>投标文件中未体现以上内容或提供不清晰导致评标委员会无法判断的不得分。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szCs w:val="21"/>
              </w:rPr>
            </w:pPr>
            <w:r>
              <w:rPr>
                <w:rFonts w:hint="eastAsia" w:ascii="宋体" w:hAnsi="宋体" w:cs="宋体"/>
                <w:szCs w:val="21"/>
              </w:rPr>
              <w:t>5</w:t>
            </w:r>
          </w:p>
        </w:tc>
        <w:tc>
          <w:tcPr>
            <w:tcW w:w="2726"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szCs w:val="21"/>
              </w:rPr>
            </w:pPr>
            <w:r>
              <w:rPr>
                <w:rFonts w:hint="eastAsia" w:ascii="宋体" w:hAnsi="宋体"/>
                <w:szCs w:val="21"/>
              </w:rPr>
              <w:t>项目管理制度和进度安排计划评价</w:t>
            </w:r>
          </w:p>
        </w:tc>
        <w:tc>
          <w:tcPr>
            <w:tcW w:w="842"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cs="宋体"/>
                <w:szCs w:val="21"/>
              </w:rPr>
            </w:pPr>
            <w:r>
              <w:rPr>
                <w:rFonts w:hint="eastAsia" w:ascii="宋体" w:hAnsi="宋体" w:cs="宋体"/>
                <w:szCs w:val="21"/>
              </w:rPr>
              <w:t>4</w:t>
            </w:r>
          </w:p>
        </w:tc>
        <w:tc>
          <w:tcPr>
            <w:tcW w:w="4394"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left"/>
              <w:rPr>
                <w:rFonts w:ascii="宋体" w:hAnsi="宋体"/>
                <w:szCs w:val="21"/>
              </w:rPr>
            </w:pPr>
            <w:r>
              <w:rPr>
                <w:rFonts w:hint="eastAsia" w:ascii="宋体" w:hAnsi="宋体"/>
                <w:szCs w:val="21"/>
              </w:rPr>
              <w:t>评委横向比较投标方案中项目管理、质量保障、进度安排等方面情况。项目管理体系完整，项目进度安排合理，成果质量达到国家相关技术标准，为</w:t>
            </w:r>
            <w:r>
              <w:rPr>
                <w:rFonts w:hint="eastAsia" w:ascii="Times New Roman" w:hAnsi="Times New Roman"/>
                <w:szCs w:val="21"/>
              </w:rPr>
              <w:t>第一名得4分；</w:t>
            </w:r>
            <w:r>
              <w:rPr>
                <w:rFonts w:hint="eastAsia" w:ascii="宋体" w:hAnsi="宋体"/>
                <w:szCs w:val="21"/>
              </w:rPr>
              <w:t>项目管理体系较完整，项目进度安排较合理，成果质量达到国家相关技术标准，为</w:t>
            </w:r>
            <w:r>
              <w:rPr>
                <w:rFonts w:hint="eastAsia" w:ascii="Times New Roman" w:hAnsi="Times New Roman"/>
                <w:szCs w:val="21"/>
              </w:rPr>
              <w:t>第二名得3分；</w:t>
            </w:r>
            <w:r>
              <w:rPr>
                <w:rFonts w:hint="eastAsia" w:ascii="宋体" w:hAnsi="宋体"/>
                <w:szCs w:val="21"/>
              </w:rPr>
              <w:t>项目管理体系基本完整，项目进度安排基本合理，成果质量基本达到国家相关技术标准，</w:t>
            </w:r>
            <w:r>
              <w:rPr>
                <w:rFonts w:hint="eastAsia" w:ascii="Times New Roman" w:hAnsi="Times New Roman"/>
                <w:szCs w:val="21"/>
              </w:rPr>
              <w:t>第三名得2分，</w:t>
            </w:r>
            <w:r>
              <w:rPr>
                <w:rFonts w:hint="eastAsia" w:ascii="宋体" w:hAnsi="宋体"/>
                <w:szCs w:val="21"/>
              </w:rPr>
              <w:t>项目管理体系不完整，项目进度安排较不合理，成果质量未达到国家相关技术标准，为</w:t>
            </w:r>
            <w:r>
              <w:rPr>
                <w:rFonts w:hint="eastAsia" w:ascii="Times New Roman" w:hAnsi="Times New Roman"/>
                <w:szCs w:val="21"/>
              </w:rPr>
              <w:t>第四名得1分。</w:t>
            </w:r>
            <w:r>
              <w:rPr>
                <w:rFonts w:hint="eastAsia" w:ascii="宋体" w:hAnsi="宋体" w:cs="宋体"/>
                <w:kern w:val="0"/>
                <w:szCs w:val="21"/>
              </w:rPr>
              <w:t>投标文件中未体现以上内容或提供不清晰导致评标委员会无法判断的不得分。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11" w:hRule="atLeast"/>
        </w:trPr>
        <w:tc>
          <w:tcPr>
            <w:tcW w:w="680" w:type="dxa"/>
            <w:vMerge w:val="continue"/>
            <w:tcBorders>
              <w:left w:val="single" w:color="000000" w:sz="8" w:space="0"/>
              <w:right w:val="single" w:color="000000" w:sz="8" w:space="0"/>
            </w:tcBorders>
            <w:vAlign w:val="center"/>
          </w:tcPr>
          <w:p>
            <w:pPr>
              <w:rPr>
                <w:rFonts w:ascii="宋体" w:hAnsi="宋体" w:cs="宋体"/>
                <w:b/>
                <w:bCs/>
                <w:color w:val="0000FF"/>
                <w:sz w:val="24"/>
              </w:rPr>
            </w:pPr>
          </w:p>
        </w:tc>
        <w:tc>
          <w:tcPr>
            <w:tcW w:w="680" w:type="dxa"/>
            <w:vMerge w:val="restart"/>
            <w:tcBorders>
              <w:top w:val="single" w:color="000000" w:sz="8" w:space="0"/>
              <w:left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6</w:t>
            </w:r>
          </w:p>
        </w:tc>
        <w:tc>
          <w:tcPr>
            <w:tcW w:w="1363" w:type="dxa"/>
            <w:vMerge w:val="restart"/>
            <w:tcBorders>
              <w:top w:val="single" w:color="000000" w:sz="8" w:space="0"/>
              <w:left w:val="single" w:color="000000" w:sz="8" w:space="0"/>
              <w:right w:val="single" w:color="000000" w:sz="8" w:space="0"/>
            </w:tcBorders>
            <w:vAlign w:val="center"/>
          </w:tcPr>
          <w:p>
            <w:pPr>
              <w:jc w:val="center"/>
              <w:rPr>
                <w:rFonts w:ascii="宋体" w:hAnsi="宋体"/>
                <w:szCs w:val="21"/>
              </w:rPr>
            </w:pPr>
            <w:r>
              <w:rPr>
                <w:rFonts w:hint="eastAsia" w:ascii="宋体" w:hAnsi="宋体"/>
                <w:szCs w:val="21"/>
              </w:rPr>
              <w:t>拟派项目负责人及技术服务人员素质要求</w:t>
            </w:r>
          </w:p>
        </w:tc>
        <w:tc>
          <w:tcPr>
            <w:tcW w:w="1363"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szCs w:val="21"/>
              </w:rPr>
              <w:t>拟派项目负责人实力</w:t>
            </w:r>
          </w:p>
        </w:tc>
        <w:tc>
          <w:tcPr>
            <w:tcW w:w="842" w:type="dxa"/>
            <w:gridSpan w:val="2"/>
            <w:tcBorders>
              <w:top w:val="single" w:color="000000" w:sz="8" w:space="0"/>
              <w:left w:val="single" w:color="000000" w:sz="8" w:space="0"/>
              <w:right w:val="single" w:color="000000" w:sz="8" w:space="0"/>
            </w:tcBorders>
            <w:vAlign w:val="center"/>
          </w:tcPr>
          <w:p>
            <w:pPr>
              <w:jc w:val="left"/>
              <w:rPr>
                <w:rFonts w:ascii="宋体" w:hAnsi="宋体"/>
                <w:szCs w:val="21"/>
              </w:rPr>
            </w:pPr>
            <w:r>
              <w:rPr>
                <w:rFonts w:ascii="宋体" w:hAnsi="宋体"/>
                <w:szCs w:val="21"/>
              </w:rPr>
              <w:t>4</w:t>
            </w:r>
          </w:p>
        </w:tc>
        <w:tc>
          <w:tcPr>
            <w:tcW w:w="4394" w:type="dxa"/>
            <w:tcBorders>
              <w:top w:val="single" w:color="000000" w:sz="8" w:space="0"/>
              <w:left w:val="single" w:color="000000" w:sz="8" w:space="0"/>
              <w:right w:val="single" w:color="000000" w:sz="8" w:space="0"/>
            </w:tcBorders>
          </w:tcPr>
          <w:p>
            <w:pPr>
              <w:spacing w:line="360" w:lineRule="exact"/>
              <w:jc w:val="left"/>
              <w:rPr>
                <w:rFonts w:ascii="宋体" w:hAnsi="宋体" w:eastAsia="宋体" w:cs="Times New Roman"/>
                <w:b/>
                <w:szCs w:val="21"/>
              </w:rPr>
            </w:pPr>
            <w:r>
              <w:rPr>
                <w:rFonts w:hint="eastAsia" w:ascii="宋体" w:hAnsi="宋体" w:eastAsia="宋体" w:cs="Times New Roman"/>
                <w:b/>
                <w:szCs w:val="21"/>
              </w:rPr>
              <w:t>1、评审标准：</w:t>
            </w:r>
          </w:p>
          <w:p>
            <w:pPr>
              <w:jc w:val="left"/>
              <w:rPr>
                <w:rFonts w:ascii="宋体" w:hAnsi="宋体"/>
                <w:szCs w:val="21"/>
              </w:rPr>
            </w:pPr>
            <w:r>
              <w:rPr>
                <w:rFonts w:hint="eastAsia" w:ascii="宋体" w:hAnsi="宋体"/>
                <w:szCs w:val="21"/>
              </w:rPr>
              <w:t>项目负责人必须具有为城市（乡）规划专业副高级或以上技术职称，否则以下均不得分。</w:t>
            </w:r>
          </w:p>
          <w:p>
            <w:pPr>
              <w:jc w:val="left"/>
              <w:rPr>
                <w:rFonts w:ascii="宋体" w:hAnsi="宋体"/>
                <w:szCs w:val="21"/>
              </w:rPr>
            </w:pPr>
            <w:r>
              <w:rPr>
                <w:rFonts w:hint="eastAsia" w:ascii="宋体" w:hAnsi="宋体"/>
                <w:szCs w:val="21"/>
              </w:rPr>
              <w:t xml:space="preserve">1）具有城市（乡）规划正高级职称的，得 </w:t>
            </w:r>
            <w:r>
              <w:rPr>
                <w:rFonts w:ascii="宋体" w:hAnsi="宋体"/>
                <w:szCs w:val="21"/>
              </w:rPr>
              <w:t>1.5</w:t>
            </w:r>
            <w:r>
              <w:rPr>
                <w:rFonts w:hint="eastAsia" w:ascii="宋体" w:hAnsi="宋体"/>
                <w:szCs w:val="21"/>
              </w:rPr>
              <w:t>分。</w:t>
            </w:r>
          </w:p>
          <w:p>
            <w:pPr>
              <w:jc w:val="left"/>
              <w:rPr>
                <w:rFonts w:ascii="宋体" w:hAnsi="宋体"/>
                <w:szCs w:val="21"/>
              </w:rPr>
            </w:pPr>
            <w:r>
              <w:rPr>
                <w:rFonts w:asciiTheme="minorHAnsi" w:hAnsiTheme="minorHAnsi"/>
                <w:szCs w:val="22"/>
              </w:rPr>
              <w:t>2</w:t>
            </w:r>
            <w:r>
              <w:rPr>
                <w:rFonts w:hint="eastAsia" w:asciiTheme="minorHAnsi" w:hAnsiTheme="minorHAnsi"/>
                <w:szCs w:val="22"/>
              </w:rPr>
              <w:t>）</w:t>
            </w:r>
            <w:r>
              <w:rPr>
                <w:rFonts w:hint="eastAsia" w:ascii="宋体" w:hAnsi="宋体"/>
                <w:szCs w:val="21"/>
              </w:rPr>
              <w:t xml:space="preserve">具有注册城市（城乡）规划师且在有效注册期内的，得 </w:t>
            </w:r>
            <w:r>
              <w:rPr>
                <w:rFonts w:ascii="宋体" w:hAnsi="宋体"/>
                <w:szCs w:val="21"/>
              </w:rPr>
              <w:t>1</w:t>
            </w:r>
            <w:r>
              <w:rPr>
                <w:rFonts w:hint="eastAsia" w:ascii="宋体" w:hAnsi="宋体"/>
                <w:szCs w:val="21"/>
              </w:rPr>
              <w:t>分；</w:t>
            </w:r>
          </w:p>
          <w:p>
            <w:pPr>
              <w:jc w:val="left"/>
              <w:rPr>
                <w:rFonts w:ascii="宋体" w:hAnsi="宋体"/>
                <w:szCs w:val="21"/>
              </w:rPr>
            </w:pPr>
            <w:r>
              <w:rPr>
                <w:rFonts w:hint="eastAsia" w:ascii="宋体" w:hAnsi="宋体"/>
                <w:szCs w:val="21"/>
              </w:rPr>
              <w:t>3）自2018年1月1日至本项目投标截止日止，主持过地下空间（开发利用）、竖向设计专项规划项目的，每个项目得 0.5 分，最多得</w:t>
            </w:r>
            <w:r>
              <w:rPr>
                <w:rFonts w:ascii="宋体" w:hAnsi="宋体"/>
                <w:szCs w:val="21"/>
              </w:rPr>
              <w:t>1.5</w:t>
            </w:r>
            <w:r>
              <w:rPr>
                <w:rFonts w:hint="eastAsia" w:ascii="宋体" w:hAnsi="宋体"/>
                <w:szCs w:val="21"/>
              </w:rPr>
              <w:t>分。</w:t>
            </w:r>
          </w:p>
          <w:p>
            <w:pPr>
              <w:jc w:val="left"/>
              <w:rPr>
                <w:rFonts w:ascii="宋体" w:hAnsi="宋体"/>
                <w:szCs w:val="21"/>
              </w:rPr>
            </w:pPr>
            <w:r>
              <w:rPr>
                <w:rFonts w:hint="eastAsia" w:ascii="宋体" w:hAnsi="宋体"/>
                <w:szCs w:val="21"/>
              </w:rPr>
              <w:t>4）</w:t>
            </w:r>
            <w:r>
              <w:rPr>
                <w:rFonts w:ascii="宋体" w:hAnsi="宋体"/>
                <w:szCs w:val="21"/>
              </w:rPr>
              <w:t>以上3项累计加分，最高分不超过4</w:t>
            </w:r>
            <w:r>
              <w:rPr>
                <w:rFonts w:hint="eastAsia" w:ascii="宋体" w:hAnsi="宋体"/>
                <w:szCs w:val="21"/>
              </w:rPr>
              <w:t>分</w:t>
            </w:r>
            <w:r>
              <w:rPr>
                <w:rFonts w:ascii="宋体" w:hAnsi="宋体"/>
                <w:szCs w:val="21"/>
              </w:rPr>
              <w:t>；</w:t>
            </w:r>
          </w:p>
          <w:p>
            <w:pPr>
              <w:spacing w:line="360" w:lineRule="exact"/>
              <w:jc w:val="left"/>
              <w:rPr>
                <w:rFonts w:ascii="宋体" w:hAnsi="宋体" w:eastAsia="宋体" w:cs="Times New Roman"/>
                <w:b/>
                <w:szCs w:val="21"/>
              </w:rPr>
            </w:pPr>
            <w:r>
              <w:rPr>
                <w:rFonts w:hint="eastAsia" w:ascii="宋体" w:hAnsi="宋体" w:eastAsia="宋体" w:cs="Times New Roman"/>
                <w:b/>
                <w:szCs w:val="21"/>
              </w:rPr>
              <w:t>2、证明文件：</w:t>
            </w:r>
          </w:p>
          <w:p>
            <w:pPr>
              <w:jc w:val="left"/>
              <w:rPr>
                <w:rFonts w:ascii="宋体" w:hAnsi="宋体"/>
                <w:szCs w:val="21"/>
              </w:rPr>
            </w:pPr>
            <w:r>
              <w:rPr>
                <w:rFonts w:hint="eastAsia" w:ascii="宋体" w:hAnsi="宋体"/>
                <w:szCs w:val="21"/>
              </w:rPr>
              <w:t>1）提供社保部门出具的投标企业缴纳相关人员开标前3个月社保证明文件原件扫描件，如开标日上一个月的社保材料（以养老保险为准）因社保部门原因暂时无法取得，则可往前顺延一个月，补缴的社保不予计算。</w:t>
            </w:r>
          </w:p>
          <w:p>
            <w:pPr>
              <w:jc w:val="left"/>
              <w:rPr>
                <w:rFonts w:ascii="宋体" w:hAnsi="宋体"/>
                <w:szCs w:val="21"/>
              </w:rPr>
            </w:pPr>
            <w:r>
              <w:rPr>
                <w:rFonts w:hint="eastAsia" w:ascii="宋体" w:hAnsi="宋体"/>
                <w:szCs w:val="21"/>
              </w:rPr>
              <w:t>2）提供人员的职称证书、注册资格证书原件扫描件。若职称证书未明确具体专业，需进一步提供毕业证书原件扫描件证明。</w:t>
            </w:r>
          </w:p>
          <w:p>
            <w:pPr>
              <w:jc w:val="left"/>
              <w:rPr>
                <w:rFonts w:ascii="宋体" w:hAnsi="宋体"/>
                <w:szCs w:val="21"/>
              </w:rPr>
            </w:pPr>
            <w:r>
              <w:rPr>
                <w:rFonts w:hint="eastAsia" w:ascii="宋体" w:hAnsi="宋体"/>
                <w:szCs w:val="21"/>
              </w:rPr>
              <w:t>3）项目负责人业绩通过项目合同关键页证明，合同中需明确注明为项目负责人。提供合同关键页原件扫描件。业绩以合同签订时间为准。</w:t>
            </w:r>
          </w:p>
          <w:p>
            <w:pPr>
              <w:jc w:val="left"/>
              <w:rPr>
                <w:rFonts w:ascii="宋体" w:hAnsi="宋体"/>
                <w:szCs w:val="21"/>
              </w:rPr>
            </w:pPr>
            <w:r>
              <w:rPr>
                <w:rFonts w:hint="eastAsia" w:ascii="宋体" w:hAnsi="宋体"/>
                <w:szCs w:val="21"/>
              </w:rPr>
              <w:t>以上各材料原件备查，未提供证明文件者或提供的证明文件不清晰专家无法辨别的，不得分。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517" w:hRule="atLeast"/>
        </w:trPr>
        <w:tc>
          <w:tcPr>
            <w:tcW w:w="680" w:type="dxa"/>
            <w:vMerge w:val="continue"/>
            <w:tcBorders>
              <w:left w:val="single" w:color="000000" w:sz="8" w:space="0"/>
              <w:right w:val="single" w:color="000000" w:sz="8" w:space="0"/>
            </w:tcBorders>
            <w:vAlign w:val="center"/>
          </w:tcPr>
          <w:p>
            <w:pPr>
              <w:rPr>
                <w:rFonts w:ascii="宋体" w:hAnsi="宋体" w:cs="宋体"/>
                <w:b/>
                <w:bCs/>
                <w:color w:val="0000FF"/>
                <w:sz w:val="24"/>
              </w:rPr>
            </w:pPr>
          </w:p>
        </w:tc>
        <w:tc>
          <w:tcPr>
            <w:tcW w:w="680" w:type="dxa"/>
            <w:vMerge w:val="continue"/>
            <w:tcBorders>
              <w:left w:val="single" w:color="000000" w:sz="8" w:space="0"/>
              <w:right w:val="single" w:color="000000" w:sz="8" w:space="0"/>
            </w:tcBorders>
            <w:vAlign w:val="center"/>
          </w:tcPr>
          <w:p>
            <w:pPr>
              <w:jc w:val="center"/>
              <w:rPr>
                <w:rFonts w:ascii="宋体" w:hAnsi="宋体" w:cs="宋体"/>
                <w:szCs w:val="21"/>
              </w:rPr>
            </w:pPr>
          </w:p>
        </w:tc>
        <w:tc>
          <w:tcPr>
            <w:tcW w:w="1363" w:type="dxa"/>
            <w:vMerge w:val="continue"/>
            <w:tcBorders>
              <w:left w:val="single" w:color="000000" w:sz="8" w:space="0"/>
              <w:right w:val="single" w:color="000000" w:sz="8" w:space="0"/>
            </w:tcBorders>
            <w:vAlign w:val="center"/>
          </w:tcPr>
          <w:p>
            <w:pPr>
              <w:jc w:val="center"/>
              <w:rPr>
                <w:rFonts w:ascii="宋体" w:hAnsi="宋体"/>
                <w:szCs w:val="21"/>
              </w:rPr>
            </w:pPr>
          </w:p>
        </w:tc>
        <w:tc>
          <w:tcPr>
            <w:tcW w:w="1363" w:type="dxa"/>
            <w:gridSpan w:val="2"/>
            <w:tcBorders>
              <w:top w:val="single" w:color="000000" w:sz="8" w:space="0"/>
              <w:left w:val="single" w:color="000000" w:sz="8" w:space="0"/>
              <w:right w:val="single" w:color="000000" w:sz="8" w:space="0"/>
            </w:tcBorders>
            <w:vAlign w:val="center"/>
          </w:tcPr>
          <w:p>
            <w:pPr>
              <w:jc w:val="center"/>
              <w:rPr>
                <w:rFonts w:ascii="宋体" w:hAnsi="宋体"/>
                <w:szCs w:val="21"/>
              </w:rPr>
            </w:pPr>
            <w:r>
              <w:rPr>
                <w:rFonts w:hint="eastAsia" w:ascii="宋体" w:hAnsi="宋体"/>
                <w:szCs w:val="21"/>
              </w:rPr>
              <w:t>技术服务团队人员实力</w:t>
            </w:r>
          </w:p>
        </w:tc>
        <w:tc>
          <w:tcPr>
            <w:tcW w:w="842" w:type="dxa"/>
            <w:gridSpan w:val="2"/>
            <w:tcBorders>
              <w:left w:val="single" w:color="000000" w:sz="8" w:space="0"/>
              <w:right w:val="single" w:color="000000" w:sz="8" w:space="0"/>
            </w:tcBorders>
            <w:vAlign w:val="center"/>
          </w:tcPr>
          <w:p>
            <w:pPr>
              <w:jc w:val="left"/>
              <w:rPr>
                <w:rFonts w:ascii="宋体" w:hAnsi="宋体"/>
                <w:szCs w:val="21"/>
              </w:rPr>
            </w:pPr>
            <w:r>
              <w:rPr>
                <w:rFonts w:ascii="宋体" w:hAnsi="宋体"/>
                <w:szCs w:val="21"/>
              </w:rPr>
              <w:t>6</w:t>
            </w:r>
          </w:p>
        </w:tc>
        <w:tc>
          <w:tcPr>
            <w:tcW w:w="4394" w:type="dxa"/>
            <w:tcBorders>
              <w:left w:val="single" w:color="000000" w:sz="8" w:space="0"/>
              <w:bottom w:val="single" w:color="000000" w:sz="8" w:space="0"/>
              <w:right w:val="single" w:color="000000" w:sz="8" w:space="0"/>
            </w:tcBorders>
          </w:tcPr>
          <w:p>
            <w:pPr>
              <w:jc w:val="left"/>
              <w:rPr>
                <w:rFonts w:ascii="宋体" w:hAnsi="宋体"/>
                <w:szCs w:val="21"/>
              </w:rPr>
            </w:pPr>
            <w:r>
              <w:rPr>
                <w:rFonts w:hint="eastAsia" w:ascii="宋体" w:hAnsi="宋体"/>
                <w:b/>
                <w:bCs/>
                <w:szCs w:val="21"/>
              </w:rPr>
              <w:t>1、评审标准：</w:t>
            </w:r>
          </w:p>
          <w:p>
            <w:pPr>
              <w:jc w:val="left"/>
              <w:rPr>
                <w:rFonts w:ascii="宋体" w:hAnsi="宋体"/>
                <w:szCs w:val="21"/>
              </w:rPr>
            </w:pPr>
            <w:r>
              <w:rPr>
                <w:rFonts w:hint="eastAsia" w:ascii="宋体" w:hAnsi="宋体" w:cs="宋体"/>
                <w:kern w:val="0"/>
                <w:szCs w:val="21"/>
              </w:rPr>
              <w:t>项目组</w:t>
            </w:r>
            <w:r>
              <w:rPr>
                <w:rFonts w:hint="eastAsia"/>
                <w:szCs w:val="21"/>
              </w:rPr>
              <w:t>投入的项目组</w:t>
            </w:r>
            <w:r>
              <w:rPr>
                <w:szCs w:val="21"/>
              </w:rPr>
              <w:t>成员</w:t>
            </w:r>
            <w:r>
              <w:rPr>
                <w:rFonts w:hint="eastAsia"/>
                <w:szCs w:val="21"/>
              </w:rPr>
              <w:t>（除项目负责人外）</w:t>
            </w:r>
            <w:r>
              <w:rPr>
                <w:szCs w:val="21"/>
              </w:rPr>
              <w:t>不</w:t>
            </w:r>
            <w:r>
              <w:rPr>
                <w:rFonts w:hint="eastAsia"/>
                <w:szCs w:val="21"/>
              </w:rPr>
              <w:t>少于10人（含1</w:t>
            </w:r>
            <w:r>
              <w:rPr>
                <w:szCs w:val="21"/>
              </w:rPr>
              <w:t>0</w:t>
            </w:r>
            <w:r>
              <w:rPr>
                <w:rFonts w:hint="eastAsia"/>
                <w:szCs w:val="21"/>
              </w:rPr>
              <w:t>人），其中</w:t>
            </w:r>
            <w:r>
              <w:rPr>
                <w:szCs w:val="21"/>
              </w:rPr>
              <w:t>城市</w:t>
            </w:r>
            <w:r>
              <w:rPr>
                <w:rFonts w:hint="eastAsia"/>
                <w:szCs w:val="21"/>
              </w:rPr>
              <w:t>规划</w:t>
            </w:r>
            <w:r>
              <w:rPr>
                <w:szCs w:val="21"/>
              </w:rPr>
              <w:t>、交通</w:t>
            </w:r>
            <w:r>
              <w:rPr>
                <w:rFonts w:hint="eastAsia"/>
                <w:szCs w:val="21"/>
              </w:rPr>
              <w:t>规划、国土</w:t>
            </w:r>
            <w:r>
              <w:rPr>
                <w:szCs w:val="21"/>
              </w:rPr>
              <w:t>、给排水</w:t>
            </w:r>
            <w:r>
              <w:rPr>
                <w:rFonts w:hint="eastAsia"/>
                <w:szCs w:val="21"/>
              </w:rPr>
              <w:t>工程</w:t>
            </w:r>
            <w:r>
              <w:rPr>
                <w:szCs w:val="21"/>
              </w:rPr>
              <w:t>专业</w:t>
            </w:r>
            <w:r>
              <w:rPr>
                <w:rFonts w:hint="eastAsia"/>
                <w:szCs w:val="21"/>
              </w:rPr>
              <w:t>副高级</w:t>
            </w:r>
            <w:r>
              <w:rPr>
                <w:szCs w:val="21"/>
              </w:rPr>
              <w:t>技术人员</w:t>
            </w:r>
            <w:r>
              <w:rPr>
                <w:rFonts w:hint="eastAsia"/>
                <w:szCs w:val="21"/>
              </w:rPr>
              <w:t>各至少</w:t>
            </w:r>
            <w:r>
              <w:rPr>
                <w:szCs w:val="21"/>
              </w:rPr>
              <w:t>1</w:t>
            </w:r>
            <w:r>
              <w:rPr>
                <w:rFonts w:hint="eastAsia"/>
                <w:szCs w:val="21"/>
              </w:rPr>
              <w:t>名，否则以下均不得分：</w:t>
            </w:r>
          </w:p>
          <w:p>
            <w:pPr>
              <w:wordWrap w:val="0"/>
              <w:rPr>
                <w:szCs w:val="21"/>
              </w:rPr>
            </w:pPr>
            <w:r>
              <w:rPr>
                <w:rFonts w:hint="eastAsia"/>
                <w:szCs w:val="21"/>
              </w:rPr>
              <w:t>1）</w:t>
            </w:r>
            <w:r>
              <w:rPr>
                <w:szCs w:val="21"/>
              </w:rPr>
              <w:t>具有正高级专业技术资格证书，每人得0.5</w:t>
            </w:r>
            <w:r>
              <w:rPr>
                <w:rFonts w:hint="eastAsia"/>
                <w:szCs w:val="21"/>
              </w:rPr>
              <w:t>分</w:t>
            </w:r>
            <w:r>
              <w:rPr>
                <w:szCs w:val="21"/>
              </w:rPr>
              <w:t>，最高</w:t>
            </w:r>
            <w:r>
              <w:rPr>
                <w:rFonts w:hint="eastAsia"/>
                <w:szCs w:val="21"/>
              </w:rPr>
              <w:t>得2分。</w:t>
            </w:r>
            <w:r>
              <w:rPr>
                <w:szCs w:val="21"/>
              </w:rPr>
              <w:t xml:space="preserve"> </w:t>
            </w:r>
          </w:p>
          <w:p>
            <w:pPr>
              <w:wordWrap w:val="0"/>
              <w:rPr>
                <w:szCs w:val="21"/>
              </w:rPr>
            </w:pPr>
            <w:r>
              <w:rPr>
                <w:rFonts w:hint="eastAsia"/>
                <w:szCs w:val="21"/>
              </w:rPr>
              <w:t>2）</w:t>
            </w:r>
            <w:r>
              <w:rPr>
                <w:rFonts w:hint="eastAsia" w:ascii="宋体" w:hAnsi="宋体"/>
                <w:szCs w:val="21"/>
              </w:rPr>
              <w:t>自2018年1月1日至本项目投标截止日止，参与过地下空间（开发利用）、竖向</w:t>
            </w:r>
            <w:r>
              <w:rPr>
                <w:rFonts w:ascii="宋体" w:hAnsi="宋体"/>
                <w:szCs w:val="21"/>
              </w:rPr>
              <w:t>设计</w:t>
            </w:r>
            <w:r>
              <w:rPr>
                <w:rFonts w:hint="eastAsia" w:ascii="宋体" w:hAnsi="宋体"/>
                <w:szCs w:val="21"/>
              </w:rPr>
              <w:t>专项规划项目的，</w:t>
            </w:r>
            <w:r>
              <w:rPr>
                <w:szCs w:val="21"/>
              </w:rPr>
              <w:t>每人得0.5</w:t>
            </w:r>
            <w:r>
              <w:rPr>
                <w:rFonts w:hint="eastAsia"/>
                <w:szCs w:val="21"/>
              </w:rPr>
              <w:t>分</w:t>
            </w:r>
            <w:r>
              <w:rPr>
                <w:szCs w:val="21"/>
              </w:rPr>
              <w:t>，最高</w:t>
            </w:r>
            <w:r>
              <w:rPr>
                <w:rFonts w:hint="eastAsia"/>
                <w:szCs w:val="21"/>
              </w:rPr>
              <w:t>得</w:t>
            </w:r>
            <w:r>
              <w:rPr>
                <w:szCs w:val="21"/>
              </w:rPr>
              <w:t>3</w:t>
            </w:r>
            <w:r>
              <w:rPr>
                <w:rFonts w:hint="eastAsia"/>
                <w:szCs w:val="21"/>
              </w:rPr>
              <w:t>分。</w:t>
            </w:r>
            <w:r>
              <w:rPr>
                <w:szCs w:val="21"/>
              </w:rPr>
              <w:t xml:space="preserve"> </w:t>
            </w:r>
          </w:p>
          <w:p>
            <w:pPr>
              <w:wordWrap w:val="0"/>
              <w:rPr>
                <w:szCs w:val="21"/>
              </w:rPr>
            </w:pPr>
            <w:r>
              <w:rPr>
                <w:szCs w:val="21"/>
              </w:rPr>
              <w:t>3</w:t>
            </w:r>
            <w:r>
              <w:rPr>
                <w:rFonts w:hint="eastAsia"/>
                <w:szCs w:val="21"/>
              </w:rPr>
              <w:t>）</w:t>
            </w:r>
            <w:r>
              <w:rPr>
                <w:rFonts w:hint="eastAsia" w:ascii="宋体" w:hAnsi="宋体"/>
                <w:szCs w:val="21"/>
              </w:rPr>
              <w:t>自2018年1月1日至本项目投标截止日止，参与过</w:t>
            </w:r>
            <w:r>
              <w:rPr>
                <w:rFonts w:hint="eastAsia" w:ascii="宋体" w:hAnsi="宋体" w:cs="宋体"/>
                <w:sz w:val="22"/>
              </w:rPr>
              <w:t>轨道</w:t>
            </w:r>
            <w:r>
              <w:rPr>
                <w:rFonts w:ascii="宋体" w:hAnsi="宋体" w:cs="宋体"/>
                <w:sz w:val="22"/>
              </w:rPr>
              <w:t>线路详细研究</w:t>
            </w:r>
            <w:r>
              <w:rPr>
                <w:rFonts w:hint="eastAsia" w:ascii="宋体" w:hAnsi="宋体" w:cs="宋体"/>
                <w:sz w:val="22"/>
              </w:rPr>
              <w:t>、轨道交通接驳规划（方案）专项规划项目</w:t>
            </w:r>
            <w:r>
              <w:rPr>
                <w:rFonts w:hint="eastAsia" w:ascii="宋体" w:hAnsi="宋体"/>
                <w:szCs w:val="21"/>
              </w:rPr>
              <w:t>的，</w:t>
            </w:r>
            <w:r>
              <w:rPr>
                <w:szCs w:val="21"/>
              </w:rPr>
              <w:t>每人得0.5</w:t>
            </w:r>
            <w:r>
              <w:rPr>
                <w:rFonts w:hint="eastAsia"/>
                <w:szCs w:val="21"/>
              </w:rPr>
              <w:t>分</w:t>
            </w:r>
            <w:r>
              <w:rPr>
                <w:szCs w:val="21"/>
              </w:rPr>
              <w:t>，最高</w:t>
            </w:r>
            <w:r>
              <w:rPr>
                <w:rFonts w:hint="eastAsia"/>
                <w:szCs w:val="21"/>
              </w:rPr>
              <w:t>得</w:t>
            </w:r>
            <w:r>
              <w:rPr>
                <w:szCs w:val="21"/>
              </w:rPr>
              <w:t>1</w:t>
            </w:r>
            <w:r>
              <w:rPr>
                <w:rFonts w:hint="eastAsia"/>
                <w:szCs w:val="21"/>
              </w:rPr>
              <w:t>分。</w:t>
            </w:r>
          </w:p>
          <w:p>
            <w:pPr>
              <w:jc w:val="left"/>
              <w:rPr>
                <w:rFonts w:ascii="宋体" w:hAnsi="宋体"/>
                <w:szCs w:val="21"/>
              </w:rPr>
            </w:pPr>
            <w:r>
              <w:rPr>
                <w:szCs w:val="21"/>
              </w:rPr>
              <w:t>4</w:t>
            </w:r>
            <w:r>
              <w:rPr>
                <w:rFonts w:hint="eastAsia"/>
                <w:szCs w:val="21"/>
              </w:rPr>
              <w:t>）</w:t>
            </w:r>
            <w:r>
              <w:rPr>
                <w:szCs w:val="21"/>
              </w:rPr>
              <w:t>以上3项累计加分，最高分不超过6</w:t>
            </w:r>
            <w:r>
              <w:rPr>
                <w:rFonts w:hint="eastAsia"/>
                <w:szCs w:val="21"/>
              </w:rPr>
              <w:t>分</w:t>
            </w:r>
            <w:r>
              <w:rPr>
                <w:szCs w:val="21"/>
              </w:rPr>
              <w:t>；</w:t>
            </w:r>
          </w:p>
          <w:p>
            <w:pPr>
              <w:jc w:val="left"/>
              <w:rPr>
                <w:rFonts w:ascii="宋体" w:hAnsi="宋体"/>
                <w:b/>
                <w:bCs/>
                <w:szCs w:val="21"/>
              </w:rPr>
            </w:pPr>
            <w:r>
              <w:rPr>
                <w:rFonts w:hint="eastAsia" w:ascii="宋体" w:hAnsi="宋体"/>
                <w:b/>
                <w:bCs/>
                <w:szCs w:val="21"/>
              </w:rPr>
              <w:t>2、证明文件：</w:t>
            </w:r>
          </w:p>
          <w:p>
            <w:pPr>
              <w:rPr>
                <w:rFonts w:ascii="宋体" w:hAnsi="宋体" w:cs="宋体"/>
                <w:kern w:val="0"/>
                <w:szCs w:val="21"/>
              </w:rPr>
            </w:pPr>
            <w:r>
              <w:rPr>
                <w:rFonts w:hint="eastAsia" w:ascii="宋体" w:hAnsi="宋体" w:cs="宋体"/>
                <w:kern w:val="0"/>
                <w:szCs w:val="21"/>
              </w:rPr>
              <w:t>1）提供社保部门出具的投标企业缴纳相关人员开标前3个月社保证明文件原件扫描件，如开标日上一个月的社保材料（以养老保险为准）因社保部门原因暂时无法取得，则可往前顺延一个月，补缴的社保不予计算。</w:t>
            </w:r>
          </w:p>
          <w:p>
            <w:pPr>
              <w:rPr>
                <w:rFonts w:ascii="宋体" w:hAnsi="宋体" w:cs="宋体"/>
                <w:kern w:val="0"/>
                <w:szCs w:val="21"/>
              </w:rPr>
            </w:pPr>
            <w:r>
              <w:rPr>
                <w:rFonts w:hint="eastAsia" w:ascii="宋体" w:hAnsi="宋体" w:cs="宋体"/>
                <w:kern w:val="0"/>
                <w:szCs w:val="21"/>
              </w:rPr>
              <w:t>2）提供人员的职称证书原件扫描件。若职称证书未明确具体专业，需进一步提供毕业证书原件扫描件证明。</w:t>
            </w:r>
          </w:p>
          <w:p>
            <w:pPr>
              <w:rPr>
                <w:rFonts w:ascii="宋体" w:hAnsi="宋体" w:cs="宋体"/>
                <w:kern w:val="0"/>
                <w:szCs w:val="21"/>
              </w:rPr>
            </w:pPr>
            <w:r>
              <w:rPr>
                <w:rFonts w:hint="eastAsia" w:ascii="宋体" w:hAnsi="宋体" w:cs="宋体"/>
                <w:kern w:val="0"/>
                <w:szCs w:val="21"/>
              </w:rPr>
              <w:t>3）项目组成员业绩通过项目合同关键页证明。提供合同关键页原件扫描件。以合同签订时间为准。</w:t>
            </w:r>
          </w:p>
          <w:p>
            <w:pPr>
              <w:rPr>
                <w:rFonts w:ascii="宋体" w:hAnsi="宋体"/>
                <w:b/>
                <w:bCs/>
                <w:szCs w:val="21"/>
              </w:rPr>
            </w:pPr>
            <w:r>
              <w:rPr>
                <w:szCs w:val="21"/>
              </w:rPr>
              <w:t>以上材料未按要求提供或提供不清晰导致</w:t>
            </w:r>
            <w:r>
              <w:rPr>
                <w:rFonts w:hint="eastAsia" w:ascii="宋体" w:hAnsi="宋体" w:cs="宋体"/>
                <w:kern w:val="0"/>
                <w:szCs w:val="21"/>
              </w:rPr>
              <w:t>评标委员会</w:t>
            </w:r>
            <w:r>
              <w:rPr>
                <w:szCs w:val="21"/>
              </w:rPr>
              <w:t>无法判断的不得分，原件备查。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FF"/>
                <w:sz w:val="24"/>
              </w:rPr>
            </w:pPr>
            <w:r>
              <w:rPr>
                <w:rFonts w:hint="eastAsia"/>
                <w:b/>
                <w:bCs/>
                <w:color w:val="0000FF"/>
              </w:rPr>
              <w:t>4</w:t>
            </w:r>
          </w:p>
        </w:tc>
        <w:tc>
          <w:tcPr>
            <w:tcW w:w="4248" w:type="dxa"/>
            <w:gridSpan w:val="6"/>
            <w:tcBorders>
              <w:top w:val="single" w:color="000000" w:sz="8" w:space="0"/>
              <w:left w:val="single" w:color="auto" w:sz="4" w:space="0"/>
              <w:bottom w:val="single" w:color="000000" w:sz="8" w:space="0"/>
              <w:right w:val="single" w:color="000000" w:sz="8" w:space="0"/>
            </w:tcBorders>
          </w:tcPr>
          <w:p>
            <w:pPr>
              <w:jc w:val="center"/>
              <w:rPr>
                <w:rFonts w:ascii="宋体" w:hAnsi="宋体" w:cs="宋体"/>
                <w:b/>
                <w:bCs/>
                <w:color w:val="0000FF"/>
                <w:sz w:val="24"/>
              </w:rPr>
            </w:pPr>
            <w:r>
              <w:rPr>
                <w:rFonts w:hint="eastAsia"/>
                <w:b/>
                <w:bCs/>
                <w:color w:val="0000FF"/>
              </w:rPr>
              <w:t>诚信</w:t>
            </w:r>
            <w:r>
              <w:rPr>
                <w:b/>
                <w:bCs/>
                <w:color w:val="0000FF"/>
              </w:rPr>
              <w:t>部分</w:t>
            </w:r>
          </w:p>
        </w:tc>
        <w:tc>
          <w:tcPr>
            <w:tcW w:w="43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color w:val="0000FF"/>
                <w:sz w:val="24"/>
              </w:rPr>
            </w:pPr>
            <w:r>
              <w:rPr>
                <w:rFonts w:hint="eastAsia" w:ascii="Times New Roman" w:hAnsi="Times New Roman" w:cs="Times New Roman"/>
                <w:b/>
                <w:bCs/>
                <w:color w:val="0000FF"/>
                <w:sz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FF"/>
                <w:sz w:val="24"/>
              </w:rPr>
            </w:pPr>
          </w:p>
        </w:tc>
        <w:tc>
          <w:tcPr>
            <w:tcW w:w="8642" w:type="dxa"/>
            <w:gridSpan w:val="7"/>
            <w:tcBorders>
              <w:top w:val="single" w:color="000000" w:sz="8" w:space="0"/>
              <w:left w:val="single" w:color="auto" w:sz="4" w:space="0"/>
              <w:bottom w:val="single" w:color="000000" w:sz="8" w:space="0"/>
              <w:right w:val="single" w:color="000000" w:sz="8" w:space="0"/>
            </w:tcBorders>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auto" w:sz="4" w:space="0"/>
              <w:left w:val="single" w:color="auto" w:sz="4" w:space="0"/>
              <w:bottom w:val="single" w:color="auto" w:sz="4" w:space="0"/>
              <w:right w:val="single" w:color="auto" w:sz="4"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single" w:color="auto" w:sz="4"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序号</w:t>
            </w:r>
          </w:p>
        </w:tc>
        <w:tc>
          <w:tcPr>
            <w:tcW w:w="2726"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评分因素</w:t>
            </w:r>
          </w:p>
        </w:tc>
        <w:tc>
          <w:tcPr>
            <w:tcW w:w="79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分值范围</w:t>
            </w:r>
          </w:p>
        </w:tc>
        <w:tc>
          <w:tcPr>
            <w:tcW w:w="4446"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FF"/>
                <w:sz w:val="24"/>
              </w:rPr>
            </w:pPr>
          </w:p>
        </w:tc>
        <w:tc>
          <w:tcPr>
            <w:tcW w:w="680" w:type="dxa"/>
            <w:tcBorders>
              <w:top w:val="single" w:color="000000" w:sz="8" w:space="0"/>
              <w:left w:val="single" w:color="auto" w:sz="4" w:space="0"/>
              <w:bottom w:val="single" w:color="000000" w:sz="8" w:space="0"/>
              <w:right w:val="single" w:color="000000" w:sz="8" w:space="0"/>
            </w:tcBorders>
            <w:vAlign w:val="center"/>
          </w:tcPr>
          <w:p>
            <w:pPr>
              <w:jc w:val="center"/>
              <w:rPr>
                <w:rFonts w:ascii="宋体" w:hAnsi="宋体" w:cs="宋体"/>
                <w:szCs w:val="21"/>
              </w:rPr>
            </w:pPr>
            <w:r>
              <w:rPr>
                <w:szCs w:val="21"/>
              </w:rPr>
              <w:t>1</w:t>
            </w:r>
          </w:p>
        </w:tc>
        <w:tc>
          <w:tcPr>
            <w:tcW w:w="2726"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PMingLiU"/>
                <w:szCs w:val="21"/>
                <w:lang w:eastAsia="zh-TW"/>
              </w:rPr>
            </w:pPr>
            <w:r>
              <w:rPr>
                <w:rFonts w:hint="eastAsia"/>
                <w:szCs w:val="21"/>
              </w:rPr>
              <w:t>诚信管理情况</w:t>
            </w:r>
          </w:p>
        </w:tc>
        <w:tc>
          <w:tcPr>
            <w:tcW w:w="79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szCs w:val="21"/>
              </w:rPr>
              <w:t>5</w:t>
            </w:r>
          </w:p>
        </w:tc>
        <w:tc>
          <w:tcPr>
            <w:tcW w:w="4446" w:type="dxa"/>
            <w:gridSpan w:val="2"/>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szCs w:val="21"/>
              </w:rPr>
            </w:pPr>
            <w:r>
              <w:rPr>
                <w:szCs w:val="21"/>
              </w:rPr>
              <w:t>根据《深圳市财政委员会关于印发〈深圳市政府采购供应商诚信管理暂行办法操作细则〉的通知》（深财购[2017]42号）的要求，投标人在参与政府采购活动中存在</w:t>
            </w:r>
            <w:r>
              <w:rPr>
                <w:rFonts w:hint="eastAsia"/>
                <w:b/>
                <w:color w:val="FF0000"/>
                <w:szCs w:val="21"/>
              </w:rPr>
              <w:t>被记入诚信档案的情形（</w:t>
            </w:r>
            <w:r>
              <w:rPr>
                <w:rFonts w:hint="eastAsia" w:ascii="宋体" w:hAnsi="宋体"/>
                <w:b/>
                <w:color w:val="FF0000"/>
                <w:kern w:val="0"/>
                <w:szCs w:val="21"/>
              </w:rPr>
              <w:t>被禁止参与政府采购活动除外</w:t>
            </w:r>
            <w:r>
              <w:rPr>
                <w:rFonts w:hint="eastAsia"/>
                <w:b/>
                <w:color w:val="FF0000"/>
                <w:szCs w:val="21"/>
              </w:rPr>
              <w:t>）</w:t>
            </w:r>
            <w:r>
              <w:rPr>
                <w:szCs w:val="21"/>
              </w:rPr>
              <w:t>且在主管部门相关处理措施实施期限内的，本项不得分，否则得满分。投标人无需提供任何证明材料，由工作人员向评审委员会提供相关信息。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auto" w:sz="4" w:space="0"/>
              <w:left w:val="single" w:color="auto" w:sz="4" w:space="0"/>
              <w:right w:val="single" w:color="auto" w:sz="4" w:space="0"/>
            </w:tcBorders>
            <w:vAlign w:val="center"/>
          </w:tcPr>
          <w:p>
            <w:pPr>
              <w:jc w:val="center"/>
              <w:rPr>
                <w:rFonts w:ascii="宋体" w:hAnsi="宋体" w:cs="宋体"/>
                <w:b/>
                <w:bCs/>
                <w:color w:val="0000FF"/>
                <w:sz w:val="24"/>
              </w:rPr>
            </w:pPr>
            <w:r>
              <w:rPr>
                <w:rFonts w:hint="eastAsia"/>
                <w:b/>
                <w:bCs/>
                <w:color w:val="0000FF"/>
              </w:rPr>
              <w:t>5</w:t>
            </w:r>
          </w:p>
        </w:tc>
        <w:tc>
          <w:tcPr>
            <w:tcW w:w="4196" w:type="dxa"/>
            <w:gridSpan w:val="5"/>
            <w:tcBorders>
              <w:top w:val="single" w:color="000000" w:sz="8" w:space="0"/>
              <w:left w:val="single" w:color="auto" w:sz="4" w:space="0"/>
              <w:bottom w:val="single" w:color="000000" w:sz="8" w:space="0"/>
              <w:right w:val="single" w:color="000000" w:sz="8" w:space="0"/>
            </w:tcBorders>
            <w:vAlign w:val="center"/>
          </w:tcPr>
          <w:p>
            <w:pPr>
              <w:jc w:val="center"/>
              <w:rPr>
                <w:rFonts w:ascii="宋体" w:hAnsi="宋体"/>
                <w:szCs w:val="21"/>
              </w:rPr>
            </w:pPr>
            <w:r>
              <w:rPr>
                <w:rFonts w:hint="eastAsia"/>
                <w:b/>
                <w:bCs/>
                <w:color w:val="0000FF"/>
              </w:rPr>
              <w:t>疫情防控</w:t>
            </w:r>
          </w:p>
        </w:tc>
        <w:tc>
          <w:tcPr>
            <w:tcW w:w="4446"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bCs/>
                <w:color w:val="0000FF"/>
                <w:sz w:val="24"/>
              </w:rPr>
            </w:pPr>
            <w:r>
              <w:rPr>
                <w:rFonts w:hint="eastAsia" w:ascii="Times New Roman" w:hAnsi="Times New Roman" w:cs="Times New Roman"/>
                <w:b/>
                <w:bCs/>
                <w:color w:val="0000FF"/>
                <w:sz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auto" w:sz="4" w:space="0"/>
              <w:right w:val="single" w:color="auto" w:sz="4" w:space="0"/>
            </w:tcBorders>
            <w:vAlign w:val="center"/>
          </w:tcPr>
          <w:p>
            <w:pPr>
              <w:rPr>
                <w:rFonts w:ascii="宋体" w:hAnsi="宋体" w:cs="宋体"/>
                <w:b/>
                <w:bCs/>
                <w:color w:val="0000FF"/>
                <w:sz w:val="24"/>
              </w:rPr>
            </w:pPr>
          </w:p>
        </w:tc>
        <w:tc>
          <w:tcPr>
            <w:tcW w:w="680" w:type="dxa"/>
            <w:tcBorders>
              <w:top w:val="single" w:color="000000" w:sz="8" w:space="0"/>
              <w:left w:val="single" w:color="auto" w:sz="4" w:space="0"/>
              <w:bottom w:val="single" w:color="000000" w:sz="8" w:space="0"/>
              <w:right w:val="single" w:color="000000" w:sz="8" w:space="0"/>
            </w:tcBorders>
            <w:shd w:val="clear" w:color="auto" w:fill="DEEAF6" w:themeFill="accent1" w:themeFillTint="33"/>
            <w:vAlign w:val="center"/>
          </w:tcPr>
          <w:p>
            <w:pPr>
              <w:jc w:val="center"/>
              <w:rPr>
                <w:szCs w:val="21"/>
              </w:rPr>
            </w:pPr>
            <w:r>
              <w:rPr>
                <w:szCs w:val="21"/>
              </w:rPr>
              <w:t>序号</w:t>
            </w:r>
          </w:p>
        </w:tc>
        <w:tc>
          <w:tcPr>
            <w:tcW w:w="2726" w:type="dxa"/>
            <w:gridSpan w:val="3"/>
            <w:tcBorders>
              <w:top w:val="single" w:color="000000" w:sz="8" w:space="0"/>
              <w:left w:val="single" w:color="000000" w:sz="8" w:space="0"/>
              <w:bottom w:val="single" w:color="000000" w:sz="8" w:space="0"/>
              <w:right w:val="single" w:color="000000" w:sz="8" w:space="0"/>
            </w:tcBorders>
            <w:shd w:val="clear" w:color="auto" w:fill="DEEAF6" w:themeFill="accent1" w:themeFillTint="33"/>
            <w:vAlign w:val="center"/>
          </w:tcPr>
          <w:p>
            <w:pPr>
              <w:jc w:val="center"/>
              <w:rPr>
                <w:szCs w:val="21"/>
              </w:rPr>
            </w:pPr>
            <w:r>
              <w:rPr>
                <w:szCs w:val="21"/>
              </w:rPr>
              <w:t>评分因素</w:t>
            </w:r>
          </w:p>
        </w:tc>
        <w:tc>
          <w:tcPr>
            <w:tcW w:w="790" w:type="dxa"/>
            <w:tcBorders>
              <w:top w:val="single" w:color="000000" w:sz="8" w:space="0"/>
              <w:left w:val="single" w:color="000000" w:sz="8" w:space="0"/>
              <w:bottom w:val="single" w:color="000000" w:sz="8" w:space="0"/>
              <w:right w:val="single" w:color="000000" w:sz="8" w:space="0"/>
            </w:tcBorders>
            <w:shd w:val="clear" w:color="auto" w:fill="DEEAF6" w:themeFill="accent1" w:themeFillTint="33"/>
            <w:vAlign w:val="center"/>
          </w:tcPr>
          <w:p>
            <w:pPr>
              <w:jc w:val="center"/>
              <w:rPr>
                <w:szCs w:val="21"/>
              </w:rPr>
            </w:pPr>
            <w:r>
              <w:rPr>
                <w:szCs w:val="21"/>
              </w:rPr>
              <w:t>权重(%)</w:t>
            </w:r>
          </w:p>
        </w:tc>
        <w:tc>
          <w:tcPr>
            <w:tcW w:w="4446" w:type="dxa"/>
            <w:gridSpan w:val="2"/>
            <w:tcBorders>
              <w:top w:val="single" w:color="000000" w:sz="8" w:space="0"/>
              <w:left w:val="single" w:color="000000" w:sz="8" w:space="0"/>
              <w:bottom w:val="single" w:color="000000" w:sz="8" w:space="0"/>
              <w:right w:val="single" w:color="000000" w:sz="8" w:space="0"/>
            </w:tcBorders>
            <w:shd w:val="clear" w:color="auto" w:fill="DEEAF6" w:themeFill="accent1" w:themeFillTint="33"/>
            <w:vAlign w:val="center"/>
          </w:tcPr>
          <w:p>
            <w:pPr>
              <w:jc w:val="center"/>
              <w:rPr>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auto" w:sz="4" w:space="0"/>
              <w:bottom w:val="single" w:color="auto" w:sz="4" w:space="0"/>
              <w:right w:val="single" w:color="auto" w:sz="4" w:space="0"/>
            </w:tcBorders>
            <w:vAlign w:val="center"/>
          </w:tcPr>
          <w:p>
            <w:pPr>
              <w:rPr>
                <w:rFonts w:ascii="宋体" w:hAnsi="宋体" w:cs="宋体"/>
                <w:b/>
                <w:bCs/>
                <w:color w:val="0000FF"/>
                <w:sz w:val="24"/>
              </w:rPr>
            </w:pPr>
          </w:p>
        </w:tc>
        <w:tc>
          <w:tcPr>
            <w:tcW w:w="680" w:type="dxa"/>
            <w:tcBorders>
              <w:top w:val="single" w:color="000000" w:sz="8" w:space="0"/>
              <w:left w:val="single" w:color="auto" w:sz="4" w:space="0"/>
              <w:bottom w:val="single" w:color="auto" w:sz="4" w:space="0"/>
              <w:right w:val="single" w:color="000000" w:sz="8" w:space="0"/>
            </w:tcBorders>
            <w:vAlign w:val="center"/>
          </w:tcPr>
          <w:p>
            <w:pPr>
              <w:jc w:val="center"/>
              <w:rPr>
                <w:szCs w:val="21"/>
              </w:rPr>
            </w:pPr>
            <w:r>
              <w:rPr>
                <w:rFonts w:hint="eastAsia"/>
                <w:szCs w:val="21"/>
              </w:rPr>
              <w:t>1</w:t>
            </w:r>
          </w:p>
        </w:tc>
        <w:tc>
          <w:tcPr>
            <w:tcW w:w="2726" w:type="dxa"/>
            <w:gridSpan w:val="3"/>
            <w:tcBorders>
              <w:top w:val="single" w:color="000000" w:sz="8" w:space="0"/>
              <w:left w:val="single" w:color="000000" w:sz="8" w:space="0"/>
              <w:bottom w:val="single" w:color="000000" w:sz="8" w:space="0"/>
              <w:right w:val="single" w:color="000000" w:sz="8" w:space="0"/>
            </w:tcBorders>
            <w:vAlign w:val="center"/>
          </w:tcPr>
          <w:p>
            <w:pPr>
              <w:jc w:val="center"/>
              <w:rPr>
                <w:szCs w:val="21"/>
              </w:rPr>
            </w:pPr>
            <w:r>
              <w:rPr>
                <w:rFonts w:hint="eastAsia"/>
                <w:szCs w:val="21"/>
              </w:rPr>
              <w:t>疫情防控</w:t>
            </w:r>
          </w:p>
          <w:p>
            <w:pPr>
              <w:jc w:val="center"/>
              <w:rPr>
                <w:szCs w:val="21"/>
              </w:rPr>
            </w:pPr>
          </w:p>
        </w:tc>
        <w:tc>
          <w:tcPr>
            <w:tcW w:w="79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szCs w:val="21"/>
              </w:rPr>
              <w:t>5</w:t>
            </w:r>
          </w:p>
        </w:tc>
        <w:tc>
          <w:tcPr>
            <w:tcW w:w="4446" w:type="dxa"/>
            <w:gridSpan w:val="2"/>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b/>
                <w:bCs/>
                <w:szCs w:val="21"/>
              </w:rPr>
            </w:pPr>
            <w:r>
              <w:rPr>
                <w:rFonts w:hint="eastAsia" w:ascii="宋体" w:hAnsi="宋体"/>
                <w:b/>
                <w:bCs/>
                <w:szCs w:val="21"/>
              </w:rPr>
              <w:t>1、评审标准</w:t>
            </w:r>
          </w:p>
          <w:p>
            <w:pPr>
              <w:numPr>
                <w:ilvl w:val="255"/>
                <w:numId w:val="0"/>
              </w:numPr>
              <w:jc w:val="left"/>
              <w:rPr>
                <w:rFonts w:ascii="宋体" w:hAnsi="宋体"/>
                <w:szCs w:val="21"/>
              </w:rPr>
            </w:pPr>
            <w:r>
              <w:rPr>
                <w:rFonts w:hint="eastAsia" w:ascii="宋体" w:hAnsi="宋体"/>
                <w:szCs w:val="21"/>
              </w:rPr>
              <w:t>1）纳入全国性名单或地方性名单的疫情防控重点保障企业，得3分；</w:t>
            </w:r>
          </w:p>
          <w:p>
            <w:pPr>
              <w:numPr>
                <w:ilvl w:val="255"/>
                <w:numId w:val="0"/>
              </w:numPr>
              <w:jc w:val="left"/>
              <w:rPr>
                <w:rFonts w:ascii="宋体" w:hAnsi="宋体"/>
                <w:szCs w:val="21"/>
              </w:rPr>
            </w:pPr>
            <w:r>
              <w:rPr>
                <w:rFonts w:hint="eastAsia" w:ascii="宋体" w:hAnsi="宋体"/>
                <w:szCs w:val="21"/>
              </w:rPr>
              <w:t>2）稳岗企业（未裁员或裁员率低于20%的企业，即投标前一个月实际参加社会保险（至少包括养老保险）的员工人数（含免缴或延期缴纳社会保险人数）不低于2019年12月同口径人数80%（含）的企业），得2分 。</w:t>
            </w:r>
          </w:p>
          <w:p>
            <w:pPr>
              <w:jc w:val="left"/>
              <w:rPr>
                <w:rFonts w:ascii="宋体" w:hAnsi="宋体"/>
                <w:b/>
                <w:bCs/>
                <w:szCs w:val="21"/>
              </w:rPr>
            </w:pPr>
            <w:r>
              <w:rPr>
                <w:rFonts w:hint="eastAsia" w:ascii="宋体" w:hAnsi="宋体"/>
                <w:b/>
                <w:bCs/>
                <w:szCs w:val="21"/>
              </w:rPr>
              <w:t>2、证明文件</w:t>
            </w:r>
          </w:p>
          <w:p>
            <w:pPr>
              <w:numPr>
                <w:ilvl w:val="255"/>
                <w:numId w:val="0"/>
              </w:numPr>
              <w:jc w:val="left"/>
              <w:rPr>
                <w:rFonts w:ascii="宋体" w:hAnsi="宋体"/>
                <w:szCs w:val="21"/>
              </w:rPr>
            </w:pPr>
            <w:r>
              <w:rPr>
                <w:rFonts w:hint="eastAsia" w:ascii="宋体" w:hAnsi="宋体"/>
                <w:szCs w:val="21"/>
              </w:rPr>
              <w:t>1）提供自身属于重点保障企业的证明材料，名单查询网页链接或名单网页截图或政府部分出具的文件或企业享受重点保障企业优惠政策的其他证明文件；</w:t>
            </w:r>
          </w:p>
          <w:p>
            <w:pPr>
              <w:jc w:val="left"/>
              <w:rPr>
                <w:szCs w:val="21"/>
              </w:rPr>
            </w:pPr>
            <w:r>
              <w:rPr>
                <w:rFonts w:hint="eastAsia" w:ascii="宋体" w:hAnsi="宋体"/>
                <w:szCs w:val="21"/>
              </w:rPr>
              <w:t>2）提供自身符合稳岗企业条件的承诺函。投标人提供虚假承诺的，将做无效投标处理，涉嫌存在违法违规行为的，依法报主管部门处理处罚。</w:t>
            </w:r>
          </w:p>
        </w:tc>
      </w:tr>
    </w:tbl>
    <w:p>
      <w:pPr>
        <w:jc w:val="left"/>
        <w:rPr>
          <w:rFonts w:ascii="宋体" w:hAnsi="宋体"/>
          <w:b/>
          <w:color w:val="FF0000"/>
          <w:szCs w:val="21"/>
        </w:rPr>
      </w:pPr>
    </w:p>
    <w:p>
      <w:pPr>
        <w:jc w:val="left"/>
        <w:rPr>
          <w:rFonts w:ascii="宋体" w:hAnsi="宋体"/>
          <w:b/>
          <w:color w:val="FF0000"/>
          <w:szCs w:val="21"/>
        </w:rPr>
      </w:pPr>
    </w:p>
    <w:p>
      <w:pPr>
        <w:jc w:val="left"/>
        <w:rPr>
          <w:rFonts w:ascii="宋体" w:hAnsi="宋体"/>
          <w:b/>
          <w:color w:val="FF0000"/>
          <w:szCs w:val="21"/>
        </w:rPr>
      </w:pPr>
      <w:r>
        <w:rPr>
          <w:rFonts w:hint="eastAsia" w:ascii="宋体" w:hAnsi="宋体"/>
          <w:b/>
          <w:color w:val="FF0000"/>
          <w:szCs w:val="21"/>
        </w:rPr>
        <w:t>关于光明区政府投资工程项目廉情预警的注意事项：</w:t>
      </w:r>
    </w:p>
    <w:p>
      <w:pPr>
        <w:ind w:firstLine="422" w:firstLineChars="200"/>
        <w:rPr>
          <w:rFonts w:ascii="宋体" w:hAnsi="宋体"/>
          <w:b/>
          <w:color w:val="FF0000"/>
          <w:szCs w:val="21"/>
        </w:rPr>
      </w:pPr>
      <w:r>
        <w:rPr>
          <w:rFonts w:hint="eastAsia" w:ascii="宋体" w:hAnsi="宋体"/>
          <w:b/>
          <w:color w:val="FF0000"/>
          <w:szCs w:val="21"/>
        </w:rPr>
        <w:t>1.领取中标通知书后，超过30天未签定合同的，区政府投资工程项目廉情预警评估系统将会发出廉情预警；</w:t>
      </w:r>
    </w:p>
    <w:p>
      <w:pPr>
        <w:ind w:firstLine="422" w:firstLineChars="200"/>
        <w:rPr>
          <w:rFonts w:ascii="宋体" w:hAnsi="宋体"/>
          <w:b/>
          <w:color w:val="FF0000"/>
          <w:szCs w:val="21"/>
        </w:rPr>
      </w:pPr>
      <w:r>
        <w:rPr>
          <w:rFonts w:hint="eastAsia" w:ascii="宋体" w:hAnsi="宋体"/>
          <w:b/>
          <w:color w:val="FF0000"/>
          <w:szCs w:val="21"/>
        </w:rPr>
        <w:t>2.评标专家一年内多次给同一单位打高分，或者打分严重偏离平均分的，区纪检监察局监管系统将会发出廉情预警；</w:t>
      </w:r>
    </w:p>
    <w:p>
      <w:pPr>
        <w:ind w:firstLine="316" w:firstLineChars="150"/>
        <w:rPr>
          <w:rFonts w:ascii="宋体" w:hAnsi="宋体"/>
          <w:b/>
          <w:color w:val="FF0000"/>
          <w:szCs w:val="21"/>
        </w:rPr>
      </w:pPr>
      <w:r>
        <w:rPr>
          <w:rFonts w:hint="eastAsia" w:ascii="宋体" w:hAnsi="宋体"/>
          <w:b/>
          <w:color w:val="FF0000"/>
          <w:szCs w:val="21"/>
        </w:rPr>
        <w:t>3.(预算价-中标价)/预算价低于5%的，区纪检监察局监管系统将会发出廉情预警；</w:t>
      </w:r>
    </w:p>
    <w:p>
      <w:pPr>
        <w:ind w:firstLine="316" w:firstLineChars="150"/>
        <w:rPr>
          <w:rFonts w:ascii="宋体" w:hAnsi="宋体"/>
          <w:b/>
          <w:color w:val="FF0000"/>
          <w:szCs w:val="21"/>
        </w:rPr>
      </w:pPr>
      <w:r>
        <w:rPr>
          <w:rFonts w:hint="eastAsia" w:ascii="宋体" w:hAnsi="宋体"/>
          <w:b/>
          <w:color w:val="FF0000"/>
          <w:szCs w:val="21"/>
        </w:rPr>
        <w:t>4.投标供应商只有三家的项目，区纪检监察局监管系统将会发出廉情预警；</w:t>
      </w:r>
    </w:p>
    <w:p>
      <w:pPr>
        <w:ind w:firstLine="316" w:firstLineChars="150"/>
        <w:rPr>
          <w:rFonts w:ascii="宋体" w:hAnsi="宋体"/>
          <w:b/>
          <w:color w:val="FF0000"/>
          <w:szCs w:val="21"/>
        </w:rPr>
      </w:pPr>
      <w:r>
        <w:rPr>
          <w:rFonts w:hint="eastAsia" w:ascii="宋体" w:hAnsi="宋体"/>
          <w:b/>
          <w:color w:val="FF0000"/>
          <w:szCs w:val="21"/>
        </w:rPr>
        <w:t>5.多家非中标单位商务标得分低于正常值的，区纪检监察局监管系统将会发出廉情预警；</w:t>
      </w:r>
    </w:p>
    <w:p>
      <w:pPr>
        <w:ind w:firstLine="316" w:firstLineChars="150"/>
        <w:rPr>
          <w:rFonts w:ascii="宋体" w:hAnsi="宋体"/>
          <w:b/>
          <w:color w:val="FF0000"/>
          <w:szCs w:val="21"/>
        </w:rPr>
      </w:pPr>
      <w:r>
        <w:rPr>
          <w:rFonts w:hint="eastAsia" w:ascii="宋体" w:hAnsi="宋体"/>
          <w:b/>
          <w:color w:val="FF0000"/>
          <w:szCs w:val="21"/>
        </w:rPr>
        <w:t>6.废标供应家数除以投标供应家数大于50%的，区纪检监察局监管系统将会发出廉情预警；</w:t>
      </w:r>
    </w:p>
    <w:p>
      <w:pPr>
        <w:ind w:firstLine="316" w:firstLineChars="150"/>
        <w:rPr>
          <w:rFonts w:ascii="宋体" w:hAnsi="宋体"/>
          <w:b/>
          <w:color w:val="FF0000"/>
          <w:szCs w:val="21"/>
        </w:rPr>
      </w:pPr>
      <w:r>
        <w:rPr>
          <w:rFonts w:hint="eastAsia" w:ascii="宋体" w:hAnsi="宋体"/>
          <w:b/>
          <w:color w:val="FF0000"/>
          <w:szCs w:val="21"/>
        </w:rPr>
        <w:t>7.供应商在中标半年内再次中标同一采购单位的项目，区纪检监察局监管系统将会发出廉情预警；</w:t>
      </w:r>
    </w:p>
    <w:p>
      <w:pPr>
        <w:ind w:firstLine="316" w:firstLineChars="150"/>
        <w:rPr>
          <w:rFonts w:ascii="宋体" w:hAnsi="宋体"/>
          <w:b/>
          <w:color w:val="FF0000"/>
          <w:szCs w:val="21"/>
        </w:rPr>
      </w:pPr>
      <w:r>
        <w:rPr>
          <w:rFonts w:hint="eastAsia" w:ascii="宋体" w:hAnsi="宋体"/>
          <w:b/>
          <w:color w:val="FF0000"/>
          <w:szCs w:val="21"/>
        </w:rPr>
        <w:t>8.无正当理由进行招标延期、招标终止、重新招标的，区纪检监察局监管系统将会发出廉情预警。</w:t>
      </w:r>
    </w:p>
    <w:p>
      <w:pPr>
        <w:rPr>
          <w:rFonts w:ascii="宋体" w:hAnsi="宋体"/>
          <w:b/>
          <w:color w:val="FF0000"/>
          <w:szCs w:val="21"/>
        </w:rPr>
      </w:pPr>
    </w:p>
    <w:p>
      <w:pPr>
        <w:widowControl/>
        <w:jc w:val="left"/>
        <w:rPr>
          <w:rFonts w:ascii="宋体" w:hAnsi="宋体"/>
          <w:b/>
          <w:color w:val="FF0000"/>
          <w:szCs w:val="21"/>
        </w:rPr>
      </w:pPr>
      <w:r>
        <w:rPr>
          <w:rFonts w:ascii="宋体" w:hAnsi="宋体"/>
          <w:b/>
          <w:color w:val="FF0000"/>
          <w:szCs w:val="21"/>
        </w:rPr>
        <w:br w:type="page"/>
      </w:r>
    </w:p>
    <w:p>
      <w:pPr>
        <w:pStyle w:val="3"/>
      </w:pPr>
      <w:r>
        <w:rPr>
          <w:rFonts w:hint="eastAsia"/>
        </w:rPr>
        <w:t>三、相关参考附件</w:t>
      </w:r>
    </w:p>
    <w:p/>
    <w:p>
      <w:pPr>
        <w:pStyle w:val="29"/>
        <w:ind w:firstLine="5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（一）服务条款偏离表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77"/>
        <w:gridCol w:w="2551"/>
        <w:gridCol w:w="241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pPr>
              <w:jc w:val="center"/>
              <w:rPr>
                <w:b/>
                <w:szCs w:val="21"/>
              </w:rPr>
            </w:pPr>
            <w:r>
              <w:rPr>
                <w:rFonts w:hint="eastAsia"/>
                <w:b/>
                <w:szCs w:val="21"/>
              </w:rPr>
              <w:t>序号</w:t>
            </w:r>
          </w:p>
        </w:tc>
        <w:tc>
          <w:tcPr>
            <w:tcW w:w="2977" w:type="dxa"/>
            <w:vAlign w:val="center"/>
          </w:tcPr>
          <w:p>
            <w:pPr>
              <w:jc w:val="center"/>
              <w:rPr>
                <w:b/>
                <w:szCs w:val="21"/>
              </w:rPr>
            </w:pPr>
            <w:r>
              <w:rPr>
                <w:rFonts w:hint="eastAsia"/>
                <w:b/>
                <w:szCs w:val="21"/>
              </w:rPr>
              <w:t>招标文件服务条款</w:t>
            </w:r>
          </w:p>
        </w:tc>
        <w:tc>
          <w:tcPr>
            <w:tcW w:w="2551" w:type="dxa"/>
            <w:vAlign w:val="center"/>
          </w:tcPr>
          <w:p>
            <w:pPr>
              <w:jc w:val="center"/>
              <w:rPr>
                <w:b/>
                <w:szCs w:val="21"/>
              </w:rPr>
            </w:pPr>
            <w:r>
              <w:rPr>
                <w:rFonts w:hint="eastAsia"/>
                <w:b/>
                <w:szCs w:val="21"/>
              </w:rPr>
              <w:t>投标文件服务条款</w:t>
            </w:r>
          </w:p>
        </w:tc>
        <w:tc>
          <w:tcPr>
            <w:tcW w:w="2410" w:type="dxa"/>
            <w:vAlign w:val="center"/>
          </w:tcPr>
          <w:p>
            <w:pPr>
              <w:jc w:val="center"/>
              <w:rPr>
                <w:b/>
                <w:szCs w:val="21"/>
              </w:rPr>
            </w:pPr>
            <w:r>
              <w:rPr>
                <w:rFonts w:hint="eastAsia"/>
                <w:b/>
                <w:szCs w:val="21"/>
              </w:rPr>
              <w:t>偏离情况</w:t>
            </w:r>
          </w:p>
        </w:tc>
        <w:tc>
          <w:tcPr>
            <w:tcW w:w="1843" w:type="dxa"/>
            <w:vAlign w:val="center"/>
          </w:tcPr>
          <w:p>
            <w:pPr>
              <w:jc w:val="center"/>
              <w:rPr>
                <w:b/>
                <w:szCs w:val="21"/>
              </w:rPr>
            </w:pPr>
            <w:r>
              <w:rPr>
                <w:rFonts w:hint="eastAsia"/>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Pr>
          <w:p>
            <w:pPr>
              <w:jc w:val="center"/>
              <w:rPr>
                <w:szCs w:val="21"/>
              </w:rPr>
            </w:pPr>
          </w:p>
        </w:tc>
        <w:tc>
          <w:tcPr>
            <w:tcW w:w="2977" w:type="dxa"/>
          </w:tcPr>
          <w:p>
            <w:pPr>
              <w:jc w:val="center"/>
              <w:rPr>
                <w:szCs w:val="21"/>
              </w:rPr>
            </w:pPr>
          </w:p>
        </w:tc>
        <w:tc>
          <w:tcPr>
            <w:tcW w:w="2551" w:type="dxa"/>
          </w:tcPr>
          <w:p>
            <w:pPr>
              <w:jc w:val="center"/>
              <w:rPr>
                <w:szCs w:val="21"/>
              </w:rPr>
            </w:pPr>
          </w:p>
        </w:tc>
        <w:tc>
          <w:tcPr>
            <w:tcW w:w="2410" w:type="dxa"/>
          </w:tcPr>
          <w:p>
            <w:pPr>
              <w:jc w:val="center"/>
              <w:rPr>
                <w:szCs w:val="21"/>
              </w:rPr>
            </w:pPr>
          </w:p>
        </w:tc>
        <w:tc>
          <w:tcPr>
            <w:tcW w:w="1843"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Pr>
          <w:p>
            <w:pPr>
              <w:jc w:val="center"/>
              <w:rPr>
                <w:szCs w:val="21"/>
              </w:rPr>
            </w:pPr>
          </w:p>
        </w:tc>
        <w:tc>
          <w:tcPr>
            <w:tcW w:w="2977" w:type="dxa"/>
          </w:tcPr>
          <w:p>
            <w:pPr>
              <w:jc w:val="center"/>
              <w:rPr>
                <w:szCs w:val="21"/>
              </w:rPr>
            </w:pPr>
          </w:p>
        </w:tc>
        <w:tc>
          <w:tcPr>
            <w:tcW w:w="2551" w:type="dxa"/>
          </w:tcPr>
          <w:p>
            <w:pPr>
              <w:jc w:val="center"/>
              <w:rPr>
                <w:szCs w:val="21"/>
              </w:rPr>
            </w:pPr>
          </w:p>
        </w:tc>
        <w:tc>
          <w:tcPr>
            <w:tcW w:w="2410" w:type="dxa"/>
          </w:tcPr>
          <w:p>
            <w:pPr>
              <w:jc w:val="center"/>
              <w:rPr>
                <w:szCs w:val="21"/>
              </w:rPr>
            </w:pPr>
          </w:p>
        </w:tc>
        <w:tc>
          <w:tcPr>
            <w:tcW w:w="1843"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4" w:type="dxa"/>
          </w:tcPr>
          <w:p>
            <w:pPr>
              <w:jc w:val="center"/>
              <w:rPr>
                <w:szCs w:val="21"/>
              </w:rPr>
            </w:pPr>
          </w:p>
        </w:tc>
        <w:tc>
          <w:tcPr>
            <w:tcW w:w="2977" w:type="dxa"/>
          </w:tcPr>
          <w:p>
            <w:pPr>
              <w:jc w:val="center"/>
              <w:rPr>
                <w:szCs w:val="21"/>
              </w:rPr>
            </w:pPr>
          </w:p>
        </w:tc>
        <w:tc>
          <w:tcPr>
            <w:tcW w:w="2551" w:type="dxa"/>
          </w:tcPr>
          <w:p>
            <w:pPr>
              <w:jc w:val="center"/>
              <w:rPr>
                <w:szCs w:val="21"/>
              </w:rPr>
            </w:pPr>
          </w:p>
        </w:tc>
        <w:tc>
          <w:tcPr>
            <w:tcW w:w="2410" w:type="dxa"/>
          </w:tcPr>
          <w:p>
            <w:pPr>
              <w:jc w:val="center"/>
              <w:rPr>
                <w:szCs w:val="21"/>
              </w:rPr>
            </w:pPr>
          </w:p>
        </w:tc>
        <w:tc>
          <w:tcPr>
            <w:tcW w:w="1843" w:type="dxa"/>
          </w:tcPr>
          <w:p>
            <w:pPr>
              <w:jc w:val="center"/>
              <w:rPr>
                <w:szCs w:val="21"/>
              </w:rPr>
            </w:pPr>
          </w:p>
        </w:tc>
      </w:tr>
    </w:tbl>
    <w:p>
      <w:pPr>
        <w:widowControl/>
        <w:jc w:val="left"/>
      </w:pPr>
    </w:p>
    <w:p>
      <w:pPr>
        <w:widowControl/>
        <w:jc w:val="left"/>
      </w:pPr>
      <w:r>
        <w:br w:type="page"/>
      </w:r>
    </w:p>
    <w:p>
      <w:pPr>
        <w:pStyle w:val="29"/>
        <w:ind w:firstLine="5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（二）商务条款偏离表</w:t>
      </w:r>
    </w:p>
    <w:p>
      <w:pPr>
        <w:rPr>
          <w:szCs w:val="21"/>
          <w:u w:val="singl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77"/>
        <w:gridCol w:w="2551"/>
        <w:gridCol w:w="241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pPr>
              <w:jc w:val="center"/>
              <w:rPr>
                <w:b/>
                <w:szCs w:val="21"/>
              </w:rPr>
            </w:pPr>
            <w:r>
              <w:rPr>
                <w:rFonts w:hint="eastAsia"/>
                <w:b/>
                <w:szCs w:val="21"/>
              </w:rPr>
              <w:t>序号</w:t>
            </w:r>
          </w:p>
        </w:tc>
        <w:tc>
          <w:tcPr>
            <w:tcW w:w="2977" w:type="dxa"/>
            <w:vAlign w:val="center"/>
          </w:tcPr>
          <w:p>
            <w:pPr>
              <w:jc w:val="center"/>
              <w:rPr>
                <w:b/>
                <w:szCs w:val="21"/>
              </w:rPr>
            </w:pPr>
            <w:r>
              <w:rPr>
                <w:rFonts w:hint="eastAsia"/>
                <w:b/>
                <w:szCs w:val="21"/>
              </w:rPr>
              <w:t>招标文件商务条款</w:t>
            </w:r>
          </w:p>
        </w:tc>
        <w:tc>
          <w:tcPr>
            <w:tcW w:w="2551" w:type="dxa"/>
            <w:vAlign w:val="center"/>
          </w:tcPr>
          <w:p>
            <w:pPr>
              <w:jc w:val="center"/>
              <w:rPr>
                <w:b/>
                <w:szCs w:val="21"/>
              </w:rPr>
            </w:pPr>
            <w:r>
              <w:rPr>
                <w:rFonts w:hint="eastAsia"/>
                <w:b/>
                <w:szCs w:val="21"/>
              </w:rPr>
              <w:t>投标文件商务条款</w:t>
            </w:r>
          </w:p>
        </w:tc>
        <w:tc>
          <w:tcPr>
            <w:tcW w:w="2410" w:type="dxa"/>
            <w:vAlign w:val="center"/>
          </w:tcPr>
          <w:p>
            <w:pPr>
              <w:jc w:val="center"/>
              <w:rPr>
                <w:b/>
                <w:szCs w:val="21"/>
              </w:rPr>
            </w:pPr>
            <w:r>
              <w:rPr>
                <w:rFonts w:hint="eastAsia"/>
                <w:b/>
                <w:szCs w:val="21"/>
              </w:rPr>
              <w:t>偏离情况</w:t>
            </w:r>
          </w:p>
        </w:tc>
        <w:tc>
          <w:tcPr>
            <w:tcW w:w="1843" w:type="dxa"/>
            <w:vAlign w:val="center"/>
          </w:tcPr>
          <w:p>
            <w:pPr>
              <w:jc w:val="center"/>
              <w:rPr>
                <w:b/>
                <w:szCs w:val="21"/>
              </w:rPr>
            </w:pPr>
            <w:r>
              <w:rPr>
                <w:rFonts w:hint="eastAsia"/>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Pr>
          <w:p>
            <w:pPr>
              <w:jc w:val="center"/>
              <w:rPr>
                <w:szCs w:val="21"/>
              </w:rPr>
            </w:pPr>
          </w:p>
        </w:tc>
        <w:tc>
          <w:tcPr>
            <w:tcW w:w="2977" w:type="dxa"/>
          </w:tcPr>
          <w:p>
            <w:pPr>
              <w:jc w:val="center"/>
              <w:rPr>
                <w:szCs w:val="21"/>
              </w:rPr>
            </w:pPr>
          </w:p>
        </w:tc>
        <w:tc>
          <w:tcPr>
            <w:tcW w:w="2551" w:type="dxa"/>
          </w:tcPr>
          <w:p>
            <w:pPr>
              <w:jc w:val="center"/>
              <w:rPr>
                <w:szCs w:val="21"/>
              </w:rPr>
            </w:pPr>
          </w:p>
        </w:tc>
        <w:tc>
          <w:tcPr>
            <w:tcW w:w="2410" w:type="dxa"/>
          </w:tcPr>
          <w:p>
            <w:pPr>
              <w:jc w:val="center"/>
              <w:rPr>
                <w:szCs w:val="21"/>
              </w:rPr>
            </w:pPr>
          </w:p>
        </w:tc>
        <w:tc>
          <w:tcPr>
            <w:tcW w:w="1843"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Pr>
          <w:p>
            <w:pPr>
              <w:jc w:val="center"/>
              <w:rPr>
                <w:szCs w:val="21"/>
              </w:rPr>
            </w:pPr>
          </w:p>
        </w:tc>
        <w:tc>
          <w:tcPr>
            <w:tcW w:w="2977" w:type="dxa"/>
          </w:tcPr>
          <w:p>
            <w:pPr>
              <w:jc w:val="center"/>
              <w:rPr>
                <w:szCs w:val="21"/>
              </w:rPr>
            </w:pPr>
          </w:p>
        </w:tc>
        <w:tc>
          <w:tcPr>
            <w:tcW w:w="2551" w:type="dxa"/>
          </w:tcPr>
          <w:p>
            <w:pPr>
              <w:jc w:val="center"/>
              <w:rPr>
                <w:szCs w:val="21"/>
              </w:rPr>
            </w:pPr>
          </w:p>
        </w:tc>
        <w:tc>
          <w:tcPr>
            <w:tcW w:w="2410" w:type="dxa"/>
          </w:tcPr>
          <w:p>
            <w:pPr>
              <w:jc w:val="center"/>
              <w:rPr>
                <w:szCs w:val="21"/>
              </w:rPr>
            </w:pPr>
          </w:p>
        </w:tc>
        <w:tc>
          <w:tcPr>
            <w:tcW w:w="1843"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4" w:type="dxa"/>
          </w:tcPr>
          <w:p>
            <w:pPr>
              <w:jc w:val="center"/>
              <w:rPr>
                <w:szCs w:val="21"/>
              </w:rPr>
            </w:pPr>
          </w:p>
        </w:tc>
        <w:tc>
          <w:tcPr>
            <w:tcW w:w="2977" w:type="dxa"/>
          </w:tcPr>
          <w:p>
            <w:pPr>
              <w:jc w:val="center"/>
              <w:rPr>
                <w:szCs w:val="21"/>
              </w:rPr>
            </w:pPr>
          </w:p>
        </w:tc>
        <w:tc>
          <w:tcPr>
            <w:tcW w:w="2551" w:type="dxa"/>
          </w:tcPr>
          <w:p>
            <w:pPr>
              <w:jc w:val="center"/>
              <w:rPr>
                <w:szCs w:val="21"/>
              </w:rPr>
            </w:pPr>
          </w:p>
        </w:tc>
        <w:tc>
          <w:tcPr>
            <w:tcW w:w="2410" w:type="dxa"/>
          </w:tcPr>
          <w:p>
            <w:pPr>
              <w:jc w:val="center"/>
              <w:rPr>
                <w:szCs w:val="21"/>
              </w:rPr>
            </w:pPr>
          </w:p>
        </w:tc>
        <w:tc>
          <w:tcPr>
            <w:tcW w:w="1843" w:type="dxa"/>
          </w:tcPr>
          <w:p>
            <w:pPr>
              <w:jc w:val="center"/>
              <w:rPr>
                <w:szCs w:val="21"/>
              </w:rPr>
            </w:pPr>
          </w:p>
        </w:tc>
      </w:tr>
    </w:tbl>
    <w:p>
      <w:pPr>
        <w:rPr>
          <w:szCs w:val="21"/>
        </w:rPr>
      </w:pPr>
    </w:p>
    <w:p/>
    <w:p/>
    <w:p/>
    <w:p/>
    <w:p>
      <w:pPr>
        <w:widowControl/>
        <w:jc w:val="left"/>
      </w:pPr>
      <w:r>
        <w:br w:type="page"/>
      </w:r>
    </w:p>
    <w:p>
      <w:pPr>
        <w:pStyle w:val="29"/>
        <w:ind w:firstLine="5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（三）政府采购履约情况反馈表</w:t>
      </w:r>
    </w:p>
    <w:p>
      <w:pPr>
        <w:spacing w:line="240" w:lineRule="atLeast"/>
        <w:ind w:firstLine="843" w:firstLineChars="400"/>
        <w:rPr>
          <w:rFonts w:ascii="宋体" w:hAnsi="宋体"/>
          <w:b/>
          <w:szCs w:val="21"/>
        </w:rPr>
      </w:pPr>
      <w:r>
        <w:rPr>
          <w:rFonts w:hint="eastAsia" w:ascii="宋体" w:hAnsi="宋体"/>
          <w:b/>
          <w:szCs w:val="21"/>
        </w:rPr>
        <w:t>采购单位名称：                       联系人及电话：</w:t>
      </w:r>
    </w:p>
    <w:p>
      <w:pPr>
        <w:spacing w:line="60" w:lineRule="exact"/>
        <w:rPr>
          <w:rFonts w:ascii="宋体" w:hAnsi="宋体"/>
          <w:b/>
          <w:szCs w:val="21"/>
        </w:rPr>
      </w:pP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tblPrEx>
          <w:tblCellMar>
            <w:top w:w="0" w:type="dxa"/>
            <w:left w:w="108" w:type="dxa"/>
            <w:bottom w:w="0" w:type="dxa"/>
            <w:right w:w="108" w:type="dxa"/>
          </w:tblCellMar>
        </w:tblPrEx>
        <w:trPr>
          <w:trHeight w:val="450"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项目名称</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项目编号</w:t>
            </w:r>
          </w:p>
        </w:tc>
        <w:tc>
          <w:tcPr>
            <w:tcW w:w="2135" w:type="dxa"/>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中标供应商名称</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供应商</w:t>
            </w:r>
          </w:p>
          <w:p>
            <w:pPr>
              <w:spacing w:line="240" w:lineRule="atLeast"/>
              <w:jc w:val="center"/>
              <w:rPr>
                <w:rFonts w:ascii="宋体" w:hAnsi="宋体"/>
                <w:szCs w:val="21"/>
              </w:rPr>
            </w:pPr>
            <w:r>
              <w:rPr>
                <w:rFonts w:hint="eastAsia" w:ascii="宋体" w:hAnsi="宋体"/>
                <w:szCs w:val="21"/>
              </w:rPr>
              <w:t>联系人及电话</w:t>
            </w:r>
          </w:p>
        </w:tc>
        <w:tc>
          <w:tcPr>
            <w:tcW w:w="2135" w:type="dxa"/>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中标金额</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合同履约时间</w:t>
            </w:r>
          </w:p>
        </w:tc>
        <w:tc>
          <w:tcPr>
            <w:tcW w:w="2135" w:type="dxa"/>
            <w:vAlign w:val="center"/>
          </w:tcPr>
          <w:p>
            <w:pPr>
              <w:spacing w:line="240" w:lineRule="atLeast"/>
              <w:rPr>
                <w:rFonts w:ascii="宋体" w:hAnsi="宋体"/>
                <w:szCs w:val="21"/>
              </w:rPr>
            </w:pPr>
            <w:r>
              <w:rPr>
                <w:rFonts w:hint="eastAsia" w:ascii="宋体" w:hAnsi="宋体"/>
                <w:szCs w:val="21"/>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pPr>
              <w:spacing w:line="240" w:lineRule="atLeast"/>
              <w:jc w:val="center"/>
              <w:rPr>
                <w:rFonts w:ascii="宋体" w:hAnsi="宋体"/>
                <w:b/>
                <w:szCs w:val="21"/>
              </w:rPr>
            </w:pPr>
            <w:r>
              <w:rPr>
                <w:rFonts w:hint="eastAsia" w:ascii="宋体" w:hAnsi="宋体"/>
                <w:b/>
                <w:szCs w:val="21"/>
              </w:rPr>
              <w:t>履约情况评价</w:t>
            </w:r>
          </w:p>
        </w:tc>
        <w:tc>
          <w:tcPr>
            <w:tcW w:w="1440" w:type="dxa"/>
            <w:gridSpan w:val="2"/>
            <w:tcBorders>
              <w:right w:val="single" w:color="auto" w:sz="4" w:space="0"/>
            </w:tcBorders>
            <w:vAlign w:val="center"/>
          </w:tcPr>
          <w:p>
            <w:pPr>
              <w:spacing w:line="240" w:lineRule="atLeast"/>
              <w:jc w:val="center"/>
              <w:rPr>
                <w:rFonts w:ascii="宋体" w:hAnsi="宋体"/>
                <w:szCs w:val="21"/>
              </w:rPr>
            </w:pPr>
            <w:r>
              <w:rPr>
                <w:rFonts w:hint="eastAsia" w:ascii="宋体" w:hAnsi="宋体"/>
                <w:szCs w:val="21"/>
              </w:rPr>
              <w:t>总体评价</w:t>
            </w:r>
          </w:p>
        </w:tc>
        <w:tc>
          <w:tcPr>
            <w:tcW w:w="6635" w:type="dxa"/>
            <w:gridSpan w:val="3"/>
            <w:tcBorders>
              <w:left w:val="single" w:color="auto" w:sz="4" w:space="0"/>
            </w:tcBorders>
            <w:vAlign w:val="center"/>
          </w:tcPr>
          <w:p>
            <w:pPr>
              <w:spacing w:line="240" w:lineRule="atLeast"/>
              <w:ind w:firstLine="105" w:firstLineChars="50"/>
              <w:jc w:val="center"/>
              <w:rPr>
                <w:rFonts w:ascii="宋体" w:hAnsi="宋体"/>
                <w:szCs w:val="21"/>
              </w:rPr>
            </w:pPr>
            <w:r>
              <w:rPr>
                <w:rFonts w:hint="eastAsia" w:ascii="宋体" w:hAnsi="宋体"/>
                <w:szCs w:val="21"/>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restart"/>
            <w:tcBorders>
              <w:right w:val="single" w:color="auto" w:sz="4" w:space="0"/>
            </w:tcBorders>
            <w:vAlign w:val="center"/>
          </w:tcPr>
          <w:p>
            <w:pPr>
              <w:spacing w:line="240" w:lineRule="atLeast"/>
              <w:jc w:val="center"/>
              <w:rPr>
                <w:rFonts w:ascii="宋体" w:hAnsi="宋体"/>
                <w:szCs w:val="21"/>
              </w:rPr>
            </w:pPr>
            <w:r>
              <w:rPr>
                <w:rFonts w:hint="eastAsia" w:ascii="宋体" w:hAnsi="宋体"/>
                <w:szCs w:val="21"/>
              </w:rPr>
              <w:t>分项评价</w:t>
            </w: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质量方面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价格方面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服务方面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时间方面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环境保护</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其他</w:t>
            </w:r>
          </w:p>
        </w:tc>
        <w:tc>
          <w:tcPr>
            <w:tcW w:w="6635" w:type="dxa"/>
            <w:gridSpan w:val="3"/>
            <w:tcBorders>
              <w:left w:val="single" w:color="auto" w:sz="4" w:space="0"/>
            </w:tcBorders>
            <w:vAlign w:val="center"/>
          </w:tcPr>
          <w:p>
            <w:pPr>
              <w:spacing w:before="156" w:beforeLines="50" w:after="156" w:afterLines="50" w:line="240" w:lineRule="atLeast"/>
              <w:rPr>
                <w:rFonts w:ascii="宋体" w:hAnsi="宋体"/>
                <w:szCs w:val="21"/>
                <w:u w:val="single"/>
              </w:rPr>
            </w:pPr>
            <w:r>
              <w:rPr>
                <w:rFonts w:hint="eastAsia" w:ascii="宋体" w:hAnsi="宋体"/>
                <w:szCs w:val="21"/>
              </w:rPr>
              <w:t>评价内容为：</w:t>
            </w:r>
          </w:p>
          <w:p>
            <w:pPr>
              <w:spacing w:before="156" w:beforeLines="50" w:after="156" w:afterLines="50" w:line="240" w:lineRule="atLeast"/>
              <w:rPr>
                <w:rFonts w:ascii="宋体" w:hAnsi="宋体"/>
                <w:szCs w:val="21"/>
              </w:rPr>
            </w:pPr>
            <w:r>
              <w:rPr>
                <w:rFonts w:hint="eastAsia" w:ascii="宋体" w:hAnsi="宋体"/>
                <w:szCs w:val="21"/>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1562" w:type="dxa"/>
            <w:gridSpan w:val="2"/>
            <w:vAlign w:val="center"/>
          </w:tcPr>
          <w:p>
            <w:pPr>
              <w:spacing w:line="240" w:lineRule="atLeast"/>
              <w:jc w:val="center"/>
              <w:rPr>
                <w:rFonts w:ascii="宋体" w:hAnsi="宋体"/>
                <w:szCs w:val="21"/>
              </w:rPr>
            </w:pPr>
            <w:r>
              <w:rPr>
                <w:rFonts w:hint="eastAsia" w:ascii="宋体" w:hAnsi="宋体"/>
                <w:szCs w:val="21"/>
              </w:rPr>
              <w:t>具体情况说明</w:t>
            </w:r>
          </w:p>
        </w:tc>
        <w:tc>
          <w:tcPr>
            <w:tcW w:w="7355" w:type="dxa"/>
            <w:gridSpan w:val="4"/>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64" w:hRule="atLeast"/>
          <w:jc w:val="center"/>
        </w:trPr>
        <w:tc>
          <w:tcPr>
            <w:tcW w:w="1562" w:type="dxa"/>
            <w:gridSpan w:val="2"/>
            <w:vAlign w:val="center"/>
          </w:tcPr>
          <w:p>
            <w:pPr>
              <w:spacing w:line="240" w:lineRule="atLeast"/>
              <w:jc w:val="center"/>
              <w:rPr>
                <w:rFonts w:ascii="宋体" w:hAnsi="宋体"/>
                <w:szCs w:val="21"/>
              </w:rPr>
            </w:pPr>
            <w:r>
              <w:rPr>
                <w:rFonts w:hint="eastAsia" w:ascii="宋体" w:hAnsi="宋体"/>
                <w:szCs w:val="21"/>
              </w:rPr>
              <w:t>采购单位意见</w:t>
            </w:r>
          </w:p>
          <w:p>
            <w:pPr>
              <w:spacing w:line="240" w:lineRule="atLeast"/>
              <w:jc w:val="center"/>
              <w:rPr>
                <w:rFonts w:ascii="宋体" w:hAnsi="宋体"/>
                <w:szCs w:val="21"/>
              </w:rPr>
            </w:pPr>
            <w:r>
              <w:rPr>
                <w:rFonts w:hint="eastAsia" w:ascii="宋体" w:hAnsi="宋体"/>
                <w:szCs w:val="21"/>
              </w:rPr>
              <w:t>（公章）</w:t>
            </w:r>
          </w:p>
        </w:tc>
        <w:tc>
          <w:tcPr>
            <w:tcW w:w="7355" w:type="dxa"/>
            <w:gridSpan w:val="4"/>
            <w:vAlign w:val="center"/>
          </w:tcPr>
          <w:p>
            <w:pPr>
              <w:spacing w:line="240" w:lineRule="atLeast"/>
              <w:ind w:firstLine="3780" w:firstLineChars="1800"/>
              <w:rPr>
                <w:rFonts w:ascii="宋体" w:hAnsi="宋体"/>
                <w:szCs w:val="21"/>
              </w:rPr>
            </w:pPr>
          </w:p>
          <w:p>
            <w:pPr>
              <w:spacing w:line="240" w:lineRule="atLeast"/>
              <w:ind w:firstLine="3780" w:firstLineChars="1800"/>
              <w:rPr>
                <w:rFonts w:ascii="宋体" w:hAnsi="宋体"/>
                <w:szCs w:val="21"/>
              </w:rPr>
            </w:pPr>
            <w:r>
              <w:rPr>
                <w:rFonts w:hint="eastAsia" w:ascii="宋体" w:hAnsi="宋体"/>
                <w:szCs w:val="21"/>
              </w:rPr>
              <w:t>日期：   年   月   日</w:t>
            </w:r>
          </w:p>
        </w:tc>
      </w:tr>
    </w:tbl>
    <w:p>
      <w:pPr>
        <w:spacing w:line="240" w:lineRule="atLeast"/>
        <w:rPr>
          <w:rFonts w:ascii="宋体" w:hAnsi="宋体"/>
          <w:szCs w:val="21"/>
        </w:rPr>
      </w:pPr>
      <w:r>
        <w:rPr>
          <w:rFonts w:hint="eastAsia" w:ascii="宋体" w:hAnsi="宋体"/>
          <w:szCs w:val="21"/>
        </w:rPr>
        <w:t>说明：</w:t>
      </w:r>
    </w:p>
    <w:p>
      <w:pPr>
        <w:spacing w:line="240" w:lineRule="atLeast"/>
        <w:rPr>
          <w:rFonts w:ascii="宋体" w:hAnsi="宋体"/>
          <w:szCs w:val="21"/>
        </w:rPr>
      </w:pPr>
      <w:r>
        <w:rPr>
          <w:rFonts w:hint="eastAsia" w:ascii="宋体" w:hAnsi="宋体"/>
          <w:szCs w:val="21"/>
        </w:rPr>
        <w:t>1、本表为采购单位向深圳市光明区公共资源交易中心反映政府采购项目履约情况时所用；</w:t>
      </w:r>
    </w:p>
    <w:p>
      <w:pPr>
        <w:spacing w:line="240" w:lineRule="atLeast"/>
        <w:rPr>
          <w:rFonts w:ascii="宋体" w:hAnsi="宋体"/>
          <w:szCs w:val="21"/>
        </w:rPr>
      </w:pPr>
      <w:r>
        <w:rPr>
          <w:rFonts w:hint="eastAsia" w:ascii="宋体" w:hAnsi="宋体"/>
          <w:szCs w:val="21"/>
        </w:rPr>
        <w:t>2、履约情况评价分为优、良、中、差四个等级，请在对应的框前打“√”，然后在“具体情况说明”一栏详细说明有关情况；</w:t>
      </w:r>
    </w:p>
    <w:p>
      <w:pPr>
        <w:spacing w:line="240" w:lineRule="atLeast"/>
        <w:rPr>
          <w:rFonts w:ascii="宋体" w:hAnsi="宋体"/>
          <w:szCs w:val="21"/>
        </w:rPr>
      </w:pPr>
      <w:r>
        <w:rPr>
          <w:rFonts w:hint="eastAsia" w:ascii="宋体" w:hAnsi="宋体"/>
          <w:szCs w:val="21"/>
        </w:rPr>
        <w:t>3、在政府采购项目合同履约过程或履约结束后30日内，采购单位应当及时填写本表以书面形式对采购实施流程中标供应商（含预选供应商）所提供的产品、服务或工程的质量、价格和履行情况等进行反馈，作为该供应商诚信管理的重要参考，未按要求书面反馈中标供应商的履约情况的，视为对供应商的履约情况无意见。</w:t>
      </w:r>
    </w:p>
    <w:p>
      <w:pPr>
        <w:rPr>
          <w:rFonts w:ascii="宋体" w:hAnsi="宋体"/>
          <w:szCs w:val="21"/>
        </w:rPr>
      </w:pPr>
      <w:r>
        <w:rPr>
          <w:rFonts w:hint="eastAsia" w:ascii="宋体" w:hAnsi="宋体"/>
          <w:szCs w:val="21"/>
        </w:rPr>
        <w:t>4、采购单位可通过书面或政府采购系统提交此表。</w:t>
      </w:r>
    </w:p>
    <w:p>
      <w:pPr>
        <w:widowControl/>
        <w:jc w:val="left"/>
        <w:rPr>
          <w:b/>
          <w:bCs/>
          <w:color w:val="FF0000"/>
        </w:rPr>
      </w:pPr>
    </w:p>
    <w:p>
      <w:pPr>
        <w:pStyle w:val="29"/>
        <w:ind w:firstLine="5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（四）中小企业声明函</w:t>
      </w:r>
    </w:p>
    <w:p>
      <w:pPr>
        <w:ind w:firstLine="420" w:firstLineChars="200"/>
        <w:rPr>
          <w:rFonts w:ascii="宋体" w:hAnsi="宋体"/>
          <w:szCs w:val="21"/>
        </w:rPr>
      </w:pPr>
      <w:r>
        <w:rPr>
          <w:rFonts w:hint="eastAsia" w:ascii="宋体" w:hAnsi="宋体"/>
          <w:szCs w:val="21"/>
        </w:rPr>
        <w:t>本公司郑重声明，根据《政府采购促进中小企业发展暂行办法》（财库〔2011〕181号）的规定，本公司为______（请填写：中型、小型、微型）企业。即，本公司同时满足以下条件：</w:t>
      </w:r>
    </w:p>
    <w:p>
      <w:pPr>
        <w:ind w:firstLine="420" w:firstLineChars="200"/>
        <w:rPr>
          <w:rFonts w:ascii="宋体" w:hAnsi="宋体"/>
          <w:szCs w:val="21"/>
        </w:rPr>
      </w:pPr>
      <w:r>
        <w:rPr>
          <w:rFonts w:hint="eastAsia" w:ascii="宋体" w:hAnsi="宋体"/>
          <w:szCs w:val="21"/>
        </w:rPr>
        <w:t>1.根据《工业和信息化部、国家统计局、国家发展和改革委员会、财政部关于印发中小企业划型标准规定的通知》（工信部联企业〔2011〕300号）规定的划分标准，本公司为______（请填写：中型、小型、微型）企业。</w:t>
      </w:r>
    </w:p>
    <w:p>
      <w:pPr>
        <w:ind w:firstLine="420" w:firstLineChars="200"/>
        <w:rPr>
          <w:rFonts w:ascii="宋体" w:hAnsi="宋体"/>
          <w:szCs w:val="21"/>
        </w:rPr>
      </w:pPr>
      <w:r>
        <w:rPr>
          <w:rFonts w:hint="eastAsia" w:ascii="宋体" w:hAnsi="宋体"/>
          <w:szCs w:val="21"/>
        </w:rPr>
        <w:t>2.本公司参加______（请填写：采购单位名称）单位的______（请填写：采购项目名称）项目采购活动提供本企业制造的货物，由本企业承担工程、提供服务，或者提供其他______（请填写：中型、小型、微型）企业制造的货物。本条所称货物不包括使用大型企业注册商标的货物。</w:t>
      </w:r>
    </w:p>
    <w:p>
      <w:pPr>
        <w:ind w:firstLine="420" w:firstLineChars="200"/>
        <w:rPr>
          <w:rFonts w:ascii="宋体" w:hAnsi="宋体"/>
          <w:szCs w:val="21"/>
        </w:rPr>
      </w:pPr>
      <w:r>
        <w:rPr>
          <w:rFonts w:hint="eastAsia" w:ascii="宋体" w:hAnsi="宋体"/>
          <w:szCs w:val="21"/>
        </w:rPr>
        <w:t xml:space="preserve">本公司对上述声明的真实性负责。如有虚假，将依法承担相应责任。 </w:t>
      </w:r>
    </w:p>
    <w:p>
      <w:pPr>
        <w:ind w:firstLine="420" w:firstLineChars="200"/>
        <w:rPr>
          <w:rFonts w:ascii="宋体" w:hAnsi="宋体"/>
          <w:szCs w:val="21"/>
        </w:rPr>
      </w:pPr>
    </w:p>
    <w:p>
      <w:pPr>
        <w:wordWrap w:val="0"/>
        <w:ind w:firstLine="420" w:firstLineChars="200"/>
        <w:jc w:val="right"/>
        <w:rPr>
          <w:rFonts w:ascii="宋体" w:hAnsi="宋体"/>
          <w:szCs w:val="21"/>
        </w:rPr>
      </w:pPr>
      <w:r>
        <w:rPr>
          <w:rFonts w:hint="eastAsia" w:ascii="宋体" w:hAnsi="宋体"/>
          <w:szCs w:val="21"/>
        </w:rPr>
        <w:t xml:space="preserve">投标人单位名称：   </w:t>
      </w:r>
    </w:p>
    <w:p>
      <w:pPr>
        <w:wordWrap w:val="0"/>
        <w:ind w:firstLine="420" w:firstLineChars="200"/>
        <w:jc w:val="right"/>
        <w:rPr>
          <w:rFonts w:ascii="宋体" w:hAnsi="宋体"/>
          <w:szCs w:val="21"/>
        </w:rPr>
      </w:pPr>
      <w:r>
        <w:rPr>
          <w:rFonts w:hint="eastAsia" w:ascii="宋体" w:hAnsi="宋体"/>
          <w:szCs w:val="21"/>
        </w:rPr>
        <w:t xml:space="preserve">日期：       </w:t>
      </w:r>
    </w:p>
    <w:p>
      <w:pPr>
        <w:ind w:firstLine="420" w:firstLineChars="200"/>
        <w:rPr>
          <w:rFonts w:ascii="宋体" w:hAnsi="宋体"/>
          <w:szCs w:val="21"/>
        </w:rPr>
      </w:pPr>
    </w:p>
    <w:p>
      <w:pPr>
        <w:pStyle w:val="29"/>
        <w:ind w:firstLine="5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（五）残疾人福利性单位声明函</w:t>
      </w:r>
    </w:p>
    <w:p>
      <w:pPr>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______（请填写：采购单位名称）单位的______（请填写：采购项目名称）项目采购活动，并提供：__________（请填写：“本单位制造的货物”或“由本单位承担的工程、提供服务”或“提供其他残疾福利单位制造的货物”）。本条所称货物是指单一产品采购项目中的货物，或者非单一产品采购项目中的核心产品（货物），不包括使用非残疾人福利性单位注册商标的货物。</w:t>
      </w:r>
    </w:p>
    <w:p>
      <w:pPr>
        <w:ind w:firstLine="420" w:firstLineChars="200"/>
        <w:rPr>
          <w:rFonts w:ascii="宋体" w:hAnsi="宋体"/>
          <w:szCs w:val="21"/>
        </w:rPr>
      </w:pPr>
      <w:r>
        <w:rPr>
          <w:rFonts w:hint="eastAsia" w:ascii="宋体" w:hAnsi="宋体"/>
          <w:szCs w:val="21"/>
        </w:rPr>
        <w:t>本单位对上述声明的真实性负责。如有虚假，将依法承担相应责任。</w:t>
      </w:r>
    </w:p>
    <w:p>
      <w:pPr>
        <w:ind w:firstLine="420" w:firstLineChars="200"/>
        <w:rPr>
          <w:rFonts w:ascii="宋体" w:hAnsi="宋体"/>
          <w:szCs w:val="21"/>
        </w:rPr>
      </w:pPr>
    </w:p>
    <w:p>
      <w:pPr>
        <w:wordWrap w:val="0"/>
        <w:ind w:firstLine="420" w:firstLineChars="200"/>
        <w:jc w:val="right"/>
        <w:rPr>
          <w:rFonts w:ascii="宋体" w:hAnsi="宋体"/>
          <w:szCs w:val="21"/>
        </w:rPr>
      </w:pPr>
      <w:r>
        <w:rPr>
          <w:rFonts w:hint="eastAsia" w:ascii="宋体" w:hAnsi="宋体"/>
          <w:szCs w:val="21"/>
        </w:rPr>
        <w:t xml:space="preserve">投标人单位名称：   </w:t>
      </w:r>
    </w:p>
    <w:p>
      <w:pPr>
        <w:wordWrap w:val="0"/>
        <w:ind w:firstLine="420" w:firstLineChars="200"/>
        <w:jc w:val="right"/>
        <w:rPr>
          <w:rFonts w:ascii="宋体" w:hAnsi="宋体"/>
          <w:szCs w:val="21"/>
        </w:rPr>
      </w:pPr>
      <w:r>
        <w:rPr>
          <w:rFonts w:hint="eastAsia" w:ascii="宋体" w:hAnsi="宋体"/>
          <w:szCs w:val="21"/>
        </w:rPr>
        <w:t xml:space="preserve">日期：       </w:t>
      </w:r>
    </w:p>
    <w:p>
      <w:pPr>
        <w:ind w:firstLine="420" w:firstLineChars="200"/>
      </w:pPr>
    </w:p>
    <w:p/>
    <w:p>
      <w:pPr>
        <w:pStyle w:val="29"/>
        <w:ind w:firstLine="5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（六）监狱企业声明函</w:t>
      </w:r>
    </w:p>
    <w:p>
      <w:pPr>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2014〕68号）的规定，本单位为符合条件的监狱企业，且本单位参加______（请填写：采购单位名称）单位的________（请填写：采购项目名称）项目采购活动，并提供：______（请填写：“本单位制造的货物”或“由本单位承担的工程、提供服务”或“其他监狱企业制造的货物”）。本条所称货物是指单一产品采购项目中的货物，或者非单一产品采购项目中的核心产品（货物）。</w:t>
      </w:r>
    </w:p>
    <w:p>
      <w:pPr>
        <w:ind w:firstLine="420" w:firstLineChars="200"/>
        <w:rPr>
          <w:rFonts w:ascii="宋体" w:hAnsi="宋体"/>
          <w:szCs w:val="21"/>
        </w:rPr>
      </w:pPr>
      <w:r>
        <w:rPr>
          <w:rFonts w:hint="eastAsia" w:ascii="宋体" w:hAnsi="宋体"/>
          <w:szCs w:val="21"/>
        </w:rPr>
        <w:t>本单位对上述声明的真实性负责。如有虚假，将依法承担相应责任。</w:t>
      </w:r>
    </w:p>
    <w:p>
      <w:pPr>
        <w:ind w:firstLine="420" w:firstLineChars="200"/>
        <w:rPr>
          <w:rFonts w:ascii="宋体" w:hAnsi="宋体"/>
          <w:szCs w:val="21"/>
        </w:rPr>
      </w:pPr>
      <w:r>
        <w:rPr>
          <w:rFonts w:hint="eastAsia" w:ascii="宋体" w:hAnsi="宋体"/>
          <w:szCs w:val="21"/>
        </w:rPr>
        <w:t>附：省级以上监狱管理局、戒毒管理局（含新疆生产建设兵团）出具的属于监狱企业的证明文件。</w:t>
      </w:r>
    </w:p>
    <w:p>
      <w:pPr>
        <w:ind w:firstLine="420" w:firstLineChars="200"/>
        <w:rPr>
          <w:rFonts w:ascii="宋体" w:hAnsi="宋体"/>
          <w:szCs w:val="21"/>
        </w:rPr>
      </w:pPr>
    </w:p>
    <w:p>
      <w:pPr>
        <w:wordWrap w:val="0"/>
        <w:ind w:firstLine="420" w:firstLineChars="200"/>
        <w:jc w:val="right"/>
        <w:rPr>
          <w:rFonts w:ascii="宋体" w:hAnsi="宋体"/>
          <w:szCs w:val="21"/>
        </w:rPr>
      </w:pPr>
      <w:r>
        <w:rPr>
          <w:rFonts w:hint="eastAsia" w:ascii="宋体" w:hAnsi="宋体"/>
          <w:szCs w:val="21"/>
        </w:rPr>
        <w:t xml:space="preserve">投标人单位名称：   </w:t>
      </w:r>
    </w:p>
    <w:p>
      <w:pPr>
        <w:wordWrap w:val="0"/>
        <w:ind w:firstLine="420" w:firstLineChars="200"/>
        <w:jc w:val="right"/>
        <w:rPr>
          <w:rFonts w:ascii="宋体" w:hAnsi="宋体"/>
          <w:szCs w:val="21"/>
        </w:rPr>
      </w:pPr>
      <w:r>
        <w:rPr>
          <w:rFonts w:hint="eastAsia" w:ascii="宋体" w:hAnsi="宋体"/>
          <w:szCs w:val="21"/>
        </w:rPr>
        <w:t xml:space="preserve">日期：       </w:t>
      </w:r>
    </w:p>
    <w:p/>
    <w:sectPr>
      <w:pgSz w:w="11906" w:h="16838"/>
      <w:pgMar w:top="1701" w:right="1474" w:bottom="1701" w:left="1588" w:header="284" w:footer="61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MS Mincho">
    <w:panose1 w:val="02020609040205080304"/>
    <w:charset w:val="80"/>
    <w:family w:val="roma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82962"/>
    <w:multiLevelType w:val="multilevel"/>
    <w:tmpl w:val="02E829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2F39DD"/>
    <w:multiLevelType w:val="multilevel"/>
    <w:tmpl w:val="252F39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B43148"/>
    <w:multiLevelType w:val="singleLevel"/>
    <w:tmpl w:val="57B43148"/>
    <w:lvl w:ilvl="0" w:tentative="0">
      <w:start w:val="2"/>
      <w:numFmt w:val="decimal"/>
      <w:suff w:val="nothing"/>
      <w:lvlText w:val="%1、"/>
      <w:lvlJc w:val="left"/>
    </w:lvl>
  </w:abstractNum>
  <w:abstractNum w:abstractNumId="3">
    <w:nsid w:val="58E92E54"/>
    <w:multiLevelType w:val="multilevel"/>
    <w:tmpl w:val="58E92E5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461DD"/>
    <w:rsid w:val="00000854"/>
    <w:rsid w:val="00004015"/>
    <w:rsid w:val="00006FC9"/>
    <w:rsid w:val="00010826"/>
    <w:rsid w:val="00013697"/>
    <w:rsid w:val="000229E2"/>
    <w:rsid w:val="0002304D"/>
    <w:rsid w:val="00027D2B"/>
    <w:rsid w:val="000327BE"/>
    <w:rsid w:val="000354AA"/>
    <w:rsid w:val="00040A3D"/>
    <w:rsid w:val="00041DDA"/>
    <w:rsid w:val="000441C3"/>
    <w:rsid w:val="00044ABC"/>
    <w:rsid w:val="0004623A"/>
    <w:rsid w:val="000464D4"/>
    <w:rsid w:val="00050ACF"/>
    <w:rsid w:val="00052998"/>
    <w:rsid w:val="00055595"/>
    <w:rsid w:val="00061F68"/>
    <w:rsid w:val="00061F6F"/>
    <w:rsid w:val="00064882"/>
    <w:rsid w:val="000709C7"/>
    <w:rsid w:val="000726FD"/>
    <w:rsid w:val="000774C0"/>
    <w:rsid w:val="000809F5"/>
    <w:rsid w:val="00085222"/>
    <w:rsid w:val="00085958"/>
    <w:rsid w:val="000861C3"/>
    <w:rsid w:val="000878FF"/>
    <w:rsid w:val="000920B4"/>
    <w:rsid w:val="00095878"/>
    <w:rsid w:val="000A3AD6"/>
    <w:rsid w:val="000A3CB1"/>
    <w:rsid w:val="000A444B"/>
    <w:rsid w:val="000A6D5A"/>
    <w:rsid w:val="000C17FA"/>
    <w:rsid w:val="000C2A2A"/>
    <w:rsid w:val="000C489E"/>
    <w:rsid w:val="000D3B12"/>
    <w:rsid w:val="000D7608"/>
    <w:rsid w:val="000E5308"/>
    <w:rsid w:val="000E58F0"/>
    <w:rsid w:val="000E75CE"/>
    <w:rsid w:val="000E79B2"/>
    <w:rsid w:val="000F0DF7"/>
    <w:rsid w:val="000F60E9"/>
    <w:rsid w:val="00102493"/>
    <w:rsid w:val="001037DF"/>
    <w:rsid w:val="001046F8"/>
    <w:rsid w:val="001065A3"/>
    <w:rsid w:val="00112A3E"/>
    <w:rsid w:val="00120210"/>
    <w:rsid w:val="00122150"/>
    <w:rsid w:val="00122748"/>
    <w:rsid w:val="00142639"/>
    <w:rsid w:val="00144EEB"/>
    <w:rsid w:val="001452DE"/>
    <w:rsid w:val="001512BA"/>
    <w:rsid w:val="00153003"/>
    <w:rsid w:val="001659F3"/>
    <w:rsid w:val="001722A1"/>
    <w:rsid w:val="0018231C"/>
    <w:rsid w:val="00183B48"/>
    <w:rsid w:val="00185A4A"/>
    <w:rsid w:val="00193AE7"/>
    <w:rsid w:val="001973F8"/>
    <w:rsid w:val="001A59D8"/>
    <w:rsid w:val="001B0323"/>
    <w:rsid w:val="001B34D0"/>
    <w:rsid w:val="001B54A6"/>
    <w:rsid w:val="001B5C42"/>
    <w:rsid w:val="001C0185"/>
    <w:rsid w:val="001C1A0C"/>
    <w:rsid w:val="001C3BA9"/>
    <w:rsid w:val="001C72D3"/>
    <w:rsid w:val="001D362B"/>
    <w:rsid w:val="001D44AD"/>
    <w:rsid w:val="001E0CC5"/>
    <w:rsid w:val="001E27A4"/>
    <w:rsid w:val="001E2C30"/>
    <w:rsid w:val="001E2DF2"/>
    <w:rsid w:val="001E35A1"/>
    <w:rsid w:val="001E360A"/>
    <w:rsid w:val="001E66C9"/>
    <w:rsid w:val="001F69CE"/>
    <w:rsid w:val="002077E0"/>
    <w:rsid w:val="002103BB"/>
    <w:rsid w:val="00213264"/>
    <w:rsid w:val="00213EB0"/>
    <w:rsid w:val="00214277"/>
    <w:rsid w:val="0021643F"/>
    <w:rsid w:val="0022074C"/>
    <w:rsid w:val="00221538"/>
    <w:rsid w:val="00221B4A"/>
    <w:rsid w:val="00225B5B"/>
    <w:rsid w:val="00225C6B"/>
    <w:rsid w:val="00227D37"/>
    <w:rsid w:val="00231847"/>
    <w:rsid w:val="00233457"/>
    <w:rsid w:val="00234BE6"/>
    <w:rsid w:val="00235E99"/>
    <w:rsid w:val="002420A7"/>
    <w:rsid w:val="00242AC1"/>
    <w:rsid w:val="00247018"/>
    <w:rsid w:val="00247D22"/>
    <w:rsid w:val="00250B51"/>
    <w:rsid w:val="00251630"/>
    <w:rsid w:val="00253B83"/>
    <w:rsid w:val="00255414"/>
    <w:rsid w:val="00265A9C"/>
    <w:rsid w:val="002675A7"/>
    <w:rsid w:val="0026787C"/>
    <w:rsid w:val="00271B03"/>
    <w:rsid w:val="00275C9F"/>
    <w:rsid w:val="00276BEE"/>
    <w:rsid w:val="00281A73"/>
    <w:rsid w:val="00284CC2"/>
    <w:rsid w:val="00291DD3"/>
    <w:rsid w:val="002929E9"/>
    <w:rsid w:val="00292C34"/>
    <w:rsid w:val="0029313D"/>
    <w:rsid w:val="002A0BCA"/>
    <w:rsid w:val="002A1F5D"/>
    <w:rsid w:val="002A3EC4"/>
    <w:rsid w:val="002A559C"/>
    <w:rsid w:val="002B02A4"/>
    <w:rsid w:val="002B5521"/>
    <w:rsid w:val="002B7875"/>
    <w:rsid w:val="002C0094"/>
    <w:rsid w:val="002C47D3"/>
    <w:rsid w:val="002C4B24"/>
    <w:rsid w:val="002C7247"/>
    <w:rsid w:val="002C764B"/>
    <w:rsid w:val="002D2EEB"/>
    <w:rsid w:val="002D454E"/>
    <w:rsid w:val="002D4CAC"/>
    <w:rsid w:val="002D7DE9"/>
    <w:rsid w:val="002D7F1F"/>
    <w:rsid w:val="002E13D2"/>
    <w:rsid w:val="002E2C1A"/>
    <w:rsid w:val="002E5643"/>
    <w:rsid w:val="002E736C"/>
    <w:rsid w:val="002F3744"/>
    <w:rsid w:val="002F3BDB"/>
    <w:rsid w:val="002F59CF"/>
    <w:rsid w:val="002F7995"/>
    <w:rsid w:val="00303FF9"/>
    <w:rsid w:val="00304D25"/>
    <w:rsid w:val="00305616"/>
    <w:rsid w:val="00305E3A"/>
    <w:rsid w:val="00306778"/>
    <w:rsid w:val="003073C5"/>
    <w:rsid w:val="003135A7"/>
    <w:rsid w:val="00315D64"/>
    <w:rsid w:val="00316CBC"/>
    <w:rsid w:val="00321675"/>
    <w:rsid w:val="00323381"/>
    <w:rsid w:val="00323CFF"/>
    <w:rsid w:val="00325F32"/>
    <w:rsid w:val="00326FDA"/>
    <w:rsid w:val="003334E7"/>
    <w:rsid w:val="0033364A"/>
    <w:rsid w:val="0033393D"/>
    <w:rsid w:val="00333E1C"/>
    <w:rsid w:val="003348FF"/>
    <w:rsid w:val="00336A28"/>
    <w:rsid w:val="00341E34"/>
    <w:rsid w:val="00342BB0"/>
    <w:rsid w:val="0034318A"/>
    <w:rsid w:val="00344D52"/>
    <w:rsid w:val="003502BA"/>
    <w:rsid w:val="00353810"/>
    <w:rsid w:val="00354C03"/>
    <w:rsid w:val="00354EC6"/>
    <w:rsid w:val="00357FAD"/>
    <w:rsid w:val="00362672"/>
    <w:rsid w:val="00371A94"/>
    <w:rsid w:val="0037283B"/>
    <w:rsid w:val="003766A8"/>
    <w:rsid w:val="003779BB"/>
    <w:rsid w:val="00380F45"/>
    <w:rsid w:val="00390AB7"/>
    <w:rsid w:val="0039395E"/>
    <w:rsid w:val="00395446"/>
    <w:rsid w:val="0039632B"/>
    <w:rsid w:val="003A0709"/>
    <w:rsid w:val="003A720D"/>
    <w:rsid w:val="003B0C3D"/>
    <w:rsid w:val="003B1FCB"/>
    <w:rsid w:val="003B2D5B"/>
    <w:rsid w:val="003B5B0F"/>
    <w:rsid w:val="003B60BF"/>
    <w:rsid w:val="003C0352"/>
    <w:rsid w:val="003C5BC3"/>
    <w:rsid w:val="003D3299"/>
    <w:rsid w:val="003D3455"/>
    <w:rsid w:val="003D56F5"/>
    <w:rsid w:val="003E37C5"/>
    <w:rsid w:val="003F0123"/>
    <w:rsid w:val="003F33DA"/>
    <w:rsid w:val="003F5DCE"/>
    <w:rsid w:val="004025A3"/>
    <w:rsid w:val="004078EF"/>
    <w:rsid w:val="00410F1A"/>
    <w:rsid w:val="00411B1C"/>
    <w:rsid w:val="00414DBA"/>
    <w:rsid w:val="00415DE3"/>
    <w:rsid w:val="0042025A"/>
    <w:rsid w:val="00420B3D"/>
    <w:rsid w:val="00424BC4"/>
    <w:rsid w:val="00427BBE"/>
    <w:rsid w:val="00430B06"/>
    <w:rsid w:val="00432E86"/>
    <w:rsid w:val="00436246"/>
    <w:rsid w:val="004409A1"/>
    <w:rsid w:val="004440B5"/>
    <w:rsid w:val="00453903"/>
    <w:rsid w:val="00455DCA"/>
    <w:rsid w:val="00461AC7"/>
    <w:rsid w:val="0046325F"/>
    <w:rsid w:val="004707DC"/>
    <w:rsid w:val="00480524"/>
    <w:rsid w:val="00483A2F"/>
    <w:rsid w:val="004876CC"/>
    <w:rsid w:val="00490BDE"/>
    <w:rsid w:val="0049216B"/>
    <w:rsid w:val="004A1F8C"/>
    <w:rsid w:val="004A62E6"/>
    <w:rsid w:val="004B0211"/>
    <w:rsid w:val="004B5E0C"/>
    <w:rsid w:val="004B64AC"/>
    <w:rsid w:val="004B6DD4"/>
    <w:rsid w:val="004B7602"/>
    <w:rsid w:val="004C33D0"/>
    <w:rsid w:val="004C4319"/>
    <w:rsid w:val="004C5927"/>
    <w:rsid w:val="004C5BDB"/>
    <w:rsid w:val="004D4AD4"/>
    <w:rsid w:val="004E3C11"/>
    <w:rsid w:val="004E5E02"/>
    <w:rsid w:val="004F1714"/>
    <w:rsid w:val="004F1922"/>
    <w:rsid w:val="004F2BCF"/>
    <w:rsid w:val="004F4B55"/>
    <w:rsid w:val="004F6507"/>
    <w:rsid w:val="0050182F"/>
    <w:rsid w:val="00513BD0"/>
    <w:rsid w:val="00526EA1"/>
    <w:rsid w:val="00527D0B"/>
    <w:rsid w:val="00527E3D"/>
    <w:rsid w:val="00530896"/>
    <w:rsid w:val="005315AB"/>
    <w:rsid w:val="00531653"/>
    <w:rsid w:val="0053254B"/>
    <w:rsid w:val="00540965"/>
    <w:rsid w:val="005412C6"/>
    <w:rsid w:val="00545B3E"/>
    <w:rsid w:val="00546EF2"/>
    <w:rsid w:val="005506FD"/>
    <w:rsid w:val="00553D81"/>
    <w:rsid w:val="00557500"/>
    <w:rsid w:val="005619EC"/>
    <w:rsid w:val="00563845"/>
    <w:rsid w:val="005670A6"/>
    <w:rsid w:val="00567486"/>
    <w:rsid w:val="005801E3"/>
    <w:rsid w:val="005832E0"/>
    <w:rsid w:val="0058384E"/>
    <w:rsid w:val="005932C3"/>
    <w:rsid w:val="005A2F3E"/>
    <w:rsid w:val="005A575D"/>
    <w:rsid w:val="005A6553"/>
    <w:rsid w:val="005B1AF7"/>
    <w:rsid w:val="005B207B"/>
    <w:rsid w:val="005B4AE3"/>
    <w:rsid w:val="005D6D9D"/>
    <w:rsid w:val="005D722C"/>
    <w:rsid w:val="005E3355"/>
    <w:rsid w:val="005E5881"/>
    <w:rsid w:val="005F1C9D"/>
    <w:rsid w:val="005F4DA5"/>
    <w:rsid w:val="006003A8"/>
    <w:rsid w:val="0060157F"/>
    <w:rsid w:val="006117EA"/>
    <w:rsid w:val="00614E95"/>
    <w:rsid w:val="00616596"/>
    <w:rsid w:val="00616A4C"/>
    <w:rsid w:val="00617045"/>
    <w:rsid w:val="00621F50"/>
    <w:rsid w:val="006233DC"/>
    <w:rsid w:val="00626E32"/>
    <w:rsid w:val="006303D6"/>
    <w:rsid w:val="0063348B"/>
    <w:rsid w:val="00633FD1"/>
    <w:rsid w:val="00634F14"/>
    <w:rsid w:val="006425D4"/>
    <w:rsid w:val="006453B9"/>
    <w:rsid w:val="00653513"/>
    <w:rsid w:val="00654039"/>
    <w:rsid w:val="00661FEC"/>
    <w:rsid w:val="00662253"/>
    <w:rsid w:val="006641C7"/>
    <w:rsid w:val="00667359"/>
    <w:rsid w:val="0067502A"/>
    <w:rsid w:val="006759CE"/>
    <w:rsid w:val="00681656"/>
    <w:rsid w:val="0068205A"/>
    <w:rsid w:val="006844B9"/>
    <w:rsid w:val="006847CD"/>
    <w:rsid w:val="00685D8F"/>
    <w:rsid w:val="00685E19"/>
    <w:rsid w:val="00690435"/>
    <w:rsid w:val="00692EAC"/>
    <w:rsid w:val="006A1A88"/>
    <w:rsid w:val="006C3A94"/>
    <w:rsid w:val="006C4C25"/>
    <w:rsid w:val="006D06F3"/>
    <w:rsid w:val="006D51A8"/>
    <w:rsid w:val="006E1776"/>
    <w:rsid w:val="006E3F70"/>
    <w:rsid w:val="006F0743"/>
    <w:rsid w:val="006F402E"/>
    <w:rsid w:val="006F74D5"/>
    <w:rsid w:val="007022BA"/>
    <w:rsid w:val="00710C88"/>
    <w:rsid w:val="00712035"/>
    <w:rsid w:val="00712B4E"/>
    <w:rsid w:val="007155BB"/>
    <w:rsid w:val="00716D90"/>
    <w:rsid w:val="00726AA9"/>
    <w:rsid w:val="00731956"/>
    <w:rsid w:val="00734150"/>
    <w:rsid w:val="007342F5"/>
    <w:rsid w:val="007408DC"/>
    <w:rsid w:val="0074345A"/>
    <w:rsid w:val="0074661D"/>
    <w:rsid w:val="007529D4"/>
    <w:rsid w:val="00755A2C"/>
    <w:rsid w:val="007562E9"/>
    <w:rsid w:val="0076487F"/>
    <w:rsid w:val="00765737"/>
    <w:rsid w:val="00774372"/>
    <w:rsid w:val="00775724"/>
    <w:rsid w:val="00785A3A"/>
    <w:rsid w:val="00792E58"/>
    <w:rsid w:val="00794F1C"/>
    <w:rsid w:val="00796239"/>
    <w:rsid w:val="007A3C5A"/>
    <w:rsid w:val="007A7B58"/>
    <w:rsid w:val="007B198B"/>
    <w:rsid w:val="007B1BBF"/>
    <w:rsid w:val="007C1452"/>
    <w:rsid w:val="007C17C7"/>
    <w:rsid w:val="007C3F4C"/>
    <w:rsid w:val="007C665E"/>
    <w:rsid w:val="007C78A3"/>
    <w:rsid w:val="007D30DD"/>
    <w:rsid w:val="007D49D7"/>
    <w:rsid w:val="007F20F9"/>
    <w:rsid w:val="007F2678"/>
    <w:rsid w:val="007F3BA8"/>
    <w:rsid w:val="007F564D"/>
    <w:rsid w:val="007F6C5D"/>
    <w:rsid w:val="00800FFD"/>
    <w:rsid w:val="00803972"/>
    <w:rsid w:val="00807963"/>
    <w:rsid w:val="00810177"/>
    <w:rsid w:val="00813127"/>
    <w:rsid w:val="00813349"/>
    <w:rsid w:val="00814721"/>
    <w:rsid w:val="00816304"/>
    <w:rsid w:val="00816B00"/>
    <w:rsid w:val="0082028B"/>
    <w:rsid w:val="0082154B"/>
    <w:rsid w:val="00823C4A"/>
    <w:rsid w:val="008329F4"/>
    <w:rsid w:val="00844F57"/>
    <w:rsid w:val="008465B3"/>
    <w:rsid w:val="00851152"/>
    <w:rsid w:val="00856146"/>
    <w:rsid w:val="008561A2"/>
    <w:rsid w:val="00857986"/>
    <w:rsid w:val="00860850"/>
    <w:rsid w:val="00864DFB"/>
    <w:rsid w:val="008706BB"/>
    <w:rsid w:val="00871555"/>
    <w:rsid w:val="0087420E"/>
    <w:rsid w:val="008812D4"/>
    <w:rsid w:val="008813F9"/>
    <w:rsid w:val="0088592B"/>
    <w:rsid w:val="0088644B"/>
    <w:rsid w:val="00886BBB"/>
    <w:rsid w:val="00887B12"/>
    <w:rsid w:val="00887B51"/>
    <w:rsid w:val="00896C45"/>
    <w:rsid w:val="00897B26"/>
    <w:rsid w:val="00897B8F"/>
    <w:rsid w:val="008A348D"/>
    <w:rsid w:val="008B0730"/>
    <w:rsid w:val="008B6714"/>
    <w:rsid w:val="008B6951"/>
    <w:rsid w:val="008B7B32"/>
    <w:rsid w:val="008C14B9"/>
    <w:rsid w:val="008C1C53"/>
    <w:rsid w:val="008C528A"/>
    <w:rsid w:val="008C5FA3"/>
    <w:rsid w:val="008C71CB"/>
    <w:rsid w:val="008E0263"/>
    <w:rsid w:val="008E57DD"/>
    <w:rsid w:val="00906AA7"/>
    <w:rsid w:val="00913556"/>
    <w:rsid w:val="00913920"/>
    <w:rsid w:val="009204FF"/>
    <w:rsid w:val="009222EC"/>
    <w:rsid w:val="00923308"/>
    <w:rsid w:val="00924E7B"/>
    <w:rsid w:val="00927218"/>
    <w:rsid w:val="00927FAF"/>
    <w:rsid w:val="009419EF"/>
    <w:rsid w:val="009463B5"/>
    <w:rsid w:val="00947484"/>
    <w:rsid w:val="009505C5"/>
    <w:rsid w:val="00956380"/>
    <w:rsid w:val="00957B14"/>
    <w:rsid w:val="00957FDA"/>
    <w:rsid w:val="0096371A"/>
    <w:rsid w:val="00966599"/>
    <w:rsid w:val="0097021E"/>
    <w:rsid w:val="00970B27"/>
    <w:rsid w:val="00973904"/>
    <w:rsid w:val="00974896"/>
    <w:rsid w:val="00980556"/>
    <w:rsid w:val="0098118D"/>
    <w:rsid w:val="00981F0F"/>
    <w:rsid w:val="00985EA4"/>
    <w:rsid w:val="00993665"/>
    <w:rsid w:val="00994C25"/>
    <w:rsid w:val="0099594C"/>
    <w:rsid w:val="0099595F"/>
    <w:rsid w:val="00996751"/>
    <w:rsid w:val="00997688"/>
    <w:rsid w:val="009A25CA"/>
    <w:rsid w:val="009A2915"/>
    <w:rsid w:val="009B4883"/>
    <w:rsid w:val="009B5A74"/>
    <w:rsid w:val="009B7686"/>
    <w:rsid w:val="009C2171"/>
    <w:rsid w:val="009C2C34"/>
    <w:rsid w:val="009D5D9A"/>
    <w:rsid w:val="009D65BF"/>
    <w:rsid w:val="009E0CD3"/>
    <w:rsid w:val="009E4BF0"/>
    <w:rsid w:val="00A01C2B"/>
    <w:rsid w:val="00A02040"/>
    <w:rsid w:val="00A020E2"/>
    <w:rsid w:val="00A0270A"/>
    <w:rsid w:val="00A02FCB"/>
    <w:rsid w:val="00A12720"/>
    <w:rsid w:val="00A12C17"/>
    <w:rsid w:val="00A17ADE"/>
    <w:rsid w:val="00A20D15"/>
    <w:rsid w:val="00A21B4B"/>
    <w:rsid w:val="00A226BE"/>
    <w:rsid w:val="00A253B4"/>
    <w:rsid w:val="00A265C9"/>
    <w:rsid w:val="00A27783"/>
    <w:rsid w:val="00A30C47"/>
    <w:rsid w:val="00A3338B"/>
    <w:rsid w:val="00A33E95"/>
    <w:rsid w:val="00A4525B"/>
    <w:rsid w:val="00A54941"/>
    <w:rsid w:val="00A60709"/>
    <w:rsid w:val="00A7098F"/>
    <w:rsid w:val="00A726C0"/>
    <w:rsid w:val="00A74679"/>
    <w:rsid w:val="00A75374"/>
    <w:rsid w:val="00A92E55"/>
    <w:rsid w:val="00A960AC"/>
    <w:rsid w:val="00AA0A11"/>
    <w:rsid w:val="00AA5EA3"/>
    <w:rsid w:val="00AA607E"/>
    <w:rsid w:val="00AA6215"/>
    <w:rsid w:val="00AB280C"/>
    <w:rsid w:val="00AB2921"/>
    <w:rsid w:val="00AB71F3"/>
    <w:rsid w:val="00AC1901"/>
    <w:rsid w:val="00AC7EAE"/>
    <w:rsid w:val="00AD6B27"/>
    <w:rsid w:val="00AE46D1"/>
    <w:rsid w:val="00AE46F9"/>
    <w:rsid w:val="00AE52AB"/>
    <w:rsid w:val="00AF3559"/>
    <w:rsid w:val="00B0489F"/>
    <w:rsid w:val="00B10472"/>
    <w:rsid w:val="00B12EEE"/>
    <w:rsid w:val="00B150F1"/>
    <w:rsid w:val="00B20401"/>
    <w:rsid w:val="00B279ED"/>
    <w:rsid w:val="00B3506A"/>
    <w:rsid w:val="00B35286"/>
    <w:rsid w:val="00B404C7"/>
    <w:rsid w:val="00B43D5A"/>
    <w:rsid w:val="00B5296D"/>
    <w:rsid w:val="00B62BAF"/>
    <w:rsid w:val="00B63B42"/>
    <w:rsid w:val="00B64141"/>
    <w:rsid w:val="00B64434"/>
    <w:rsid w:val="00B67831"/>
    <w:rsid w:val="00B70093"/>
    <w:rsid w:val="00B702A3"/>
    <w:rsid w:val="00B70A2D"/>
    <w:rsid w:val="00B71F8F"/>
    <w:rsid w:val="00B739E1"/>
    <w:rsid w:val="00B75F9C"/>
    <w:rsid w:val="00B770F8"/>
    <w:rsid w:val="00B774D5"/>
    <w:rsid w:val="00B80344"/>
    <w:rsid w:val="00B80588"/>
    <w:rsid w:val="00B8477F"/>
    <w:rsid w:val="00B84B6C"/>
    <w:rsid w:val="00B84EA9"/>
    <w:rsid w:val="00B96443"/>
    <w:rsid w:val="00BA0FA4"/>
    <w:rsid w:val="00BA340A"/>
    <w:rsid w:val="00BA3782"/>
    <w:rsid w:val="00BA5ABD"/>
    <w:rsid w:val="00BB73B5"/>
    <w:rsid w:val="00BC34DC"/>
    <w:rsid w:val="00BC6FF4"/>
    <w:rsid w:val="00BD3879"/>
    <w:rsid w:val="00BE132A"/>
    <w:rsid w:val="00BE4F89"/>
    <w:rsid w:val="00BF2990"/>
    <w:rsid w:val="00C02A11"/>
    <w:rsid w:val="00C11C4A"/>
    <w:rsid w:val="00C1210C"/>
    <w:rsid w:val="00C164E2"/>
    <w:rsid w:val="00C223E1"/>
    <w:rsid w:val="00C25D48"/>
    <w:rsid w:val="00C26036"/>
    <w:rsid w:val="00C26397"/>
    <w:rsid w:val="00C27B46"/>
    <w:rsid w:val="00C30351"/>
    <w:rsid w:val="00C40223"/>
    <w:rsid w:val="00C40BB9"/>
    <w:rsid w:val="00C41D6E"/>
    <w:rsid w:val="00C42983"/>
    <w:rsid w:val="00C4437A"/>
    <w:rsid w:val="00C470AB"/>
    <w:rsid w:val="00C473B7"/>
    <w:rsid w:val="00C61C72"/>
    <w:rsid w:val="00C7230F"/>
    <w:rsid w:val="00C74F16"/>
    <w:rsid w:val="00C80071"/>
    <w:rsid w:val="00C84778"/>
    <w:rsid w:val="00C8691E"/>
    <w:rsid w:val="00C86F3B"/>
    <w:rsid w:val="00C913A8"/>
    <w:rsid w:val="00C95C45"/>
    <w:rsid w:val="00C968CE"/>
    <w:rsid w:val="00CA01D7"/>
    <w:rsid w:val="00CA380E"/>
    <w:rsid w:val="00CA57CD"/>
    <w:rsid w:val="00CA6EAE"/>
    <w:rsid w:val="00CB0C12"/>
    <w:rsid w:val="00CB0D16"/>
    <w:rsid w:val="00CB4359"/>
    <w:rsid w:val="00CB4CF2"/>
    <w:rsid w:val="00CC3A68"/>
    <w:rsid w:val="00CC4555"/>
    <w:rsid w:val="00CC6EEA"/>
    <w:rsid w:val="00CD16F8"/>
    <w:rsid w:val="00CD2263"/>
    <w:rsid w:val="00CD4254"/>
    <w:rsid w:val="00CD4EAE"/>
    <w:rsid w:val="00CD6B87"/>
    <w:rsid w:val="00CE027A"/>
    <w:rsid w:val="00CE0387"/>
    <w:rsid w:val="00CE1108"/>
    <w:rsid w:val="00CE13DA"/>
    <w:rsid w:val="00CE5AEB"/>
    <w:rsid w:val="00CF3113"/>
    <w:rsid w:val="00CF3792"/>
    <w:rsid w:val="00CF589D"/>
    <w:rsid w:val="00D016BC"/>
    <w:rsid w:val="00D057A2"/>
    <w:rsid w:val="00D065F7"/>
    <w:rsid w:val="00D15D88"/>
    <w:rsid w:val="00D1779B"/>
    <w:rsid w:val="00D214B7"/>
    <w:rsid w:val="00D22D2A"/>
    <w:rsid w:val="00D2486D"/>
    <w:rsid w:val="00D30470"/>
    <w:rsid w:val="00D327B9"/>
    <w:rsid w:val="00D33645"/>
    <w:rsid w:val="00D42BB5"/>
    <w:rsid w:val="00D47129"/>
    <w:rsid w:val="00D506AE"/>
    <w:rsid w:val="00D606D8"/>
    <w:rsid w:val="00D62F36"/>
    <w:rsid w:val="00D65778"/>
    <w:rsid w:val="00D65E89"/>
    <w:rsid w:val="00D7086A"/>
    <w:rsid w:val="00D72B03"/>
    <w:rsid w:val="00D77A19"/>
    <w:rsid w:val="00D910CB"/>
    <w:rsid w:val="00D966C9"/>
    <w:rsid w:val="00D97580"/>
    <w:rsid w:val="00DA2AD7"/>
    <w:rsid w:val="00DA3918"/>
    <w:rsid w:val="00DA3C92"/>
    <w:rsid w:val="00DA584F"/>
    <w:rsid w:val="00DB12A8"/>
    <w:rsid w:val="00DB22EF"/>
    <w:rsid w:val="00DC28A7"/>
    <w:rsid w:val="00DC492B"/>
    <w:rsid w:val="00DC5354"/>
    <w:rsid w:val="00DD06F6"/>
    <w:rsid w:val="00DD1441"/>
    <w:rsid w:val="00DE3040"/>
    <w:rsid w:val="00DE65C8"/>
    <w:rsid w:val="00DF1AE5"/>
    <w:rsid w:val="00E02B71"/>
    <w:rsid w:val="00E039B1"/>
    <w:rsid w:val="00E03A14"/>
    <w:rsid w:val="00E061E0"/>
    <w:rsid w:val="00E0698A"/>
    <w:rsid w:val="00E07C1B"/>
    <w:rsid w:val="00E100C6"/>
    <w:rsid w:val="00E12079"/>
    <w:rsid w:val="00E1630E"/>
    <w:rsid w:val="00E22B9F"/>
    <w:rsid w:val="00E230D9"/>
    <w:rsid w:val="00E30DA3"/>
    <w:rsid w:val="00E362EF"/>
    <w:rsid w:val="00E37C86"/>
    <w:rsid w:val="00E40FD0"/>
    <w:rsid w:val="00E42B90"/>
    <w:rsid w:val="00E469A4"/>
    <w:rsid w:val="00E47676"/>
    <w:rsid w:val="00E56C39"/>
    <w:rsid w:val="00E606FF"/>
    <w:rsid w:val="00E63B62"/>
    <w:rsid w:val="00E64471"/>
    <w:rsid w:val="00E678CB"/>
    <w:rsid w:val="00E805D4"/>
    <w:rsid w:val="00E81F6C"/>
    <w:rsid w:val="00E837C8"/>
    <w:rsid w:val="00E8630F"/>
    <w:rsid w:val="00E87183"/>
    <w:rsid w:val="00E94F9D"/>
    <w:rsid w:val="00E95DBC"/>
    <w:rsid w:val="00E96CE3"/>
    <w:rsid w:val="00E978B0"/>
    <w:rsid w:val="00EA4ED1"/>
    <w:rsid w:val="00EA5F90"/>
    <w:rsid w:val="00EB0A55"/>
    <w:rsid w:val="00EB10DC"/>
    <w:rsid w:val="00EB4294"/>
    <w:rsid w:val="00EB4BD5"/>
    <w:rsid w:val="00EB77A0"/>
    <w:rsid w:val="00EC0ED1"/>
    <w:rsid w:val="00ED0C91"/>
    <w:rsid w:val="00ED18B1"/>
    <w:rsid w:val="00ED3412"/>
    <w:rsid w:val="00ED47A6"/>
    <w:rsid w:val="00EE4311"/>
    <w:rsid w:val="00EF37D0"/>
    <w:rsid w:val="00EF556C"/>
    <w:rsid w:val="00EF741A"/>
    <w:rsid w:val="00F015A5"/>
    <w:rsid w:val="00F02504"/>
    <w:rsid w:val="00F02F0F"/>
    <w:rsid w:val="00F050F3"/>
    <w:rsid w:val="00F0647A"/>
    <w:rsid w:val="00F308FE"/>
    <w:rsid w:val="00F41A57"/>
    <w:rsid w:val="00F460FC"/>
    <w:rsid w:val="00F46402"/>
    <w:rsid w:val="00F46A4D"/>
    <w:rsid w:val="00F46BC5"/>
    <w:rsid w:val="00F46F3E"/>
    <w:rsid w:val="00F4707C"/>
    <w:rsid w:val="00F47B65"/>
    <w:rsid w:val="00F517EE"/>
    <w:rsid w:val="00F619FF"/>
    <w:rsid w:val="00F61C27"/>
    <w:rsid w:val="00F630D5"/>
    <w:rsid w:val="00F63EB2"/>
    <w:rsid w:val="00F649C1"/>
    <w:rsid w:val="00F64F57"/>
    <w:rsid w:val="00F7274E"/>
    <w:rsid w:val="00F72C8D"/>
    <w:rsid w:val="00F76CCE"/>
    <w:rsid w:val="00F771C5"/>
    <w:rsid w:val="00F824BF"/>
    <w:rsid w:val="00F85636"/>
    <w:rsid w:val="00F900EA"/>
    <w:rsid w:val="00FA02ED"/>
    <w:rsid w:val="00FA0475"/>
    <w:rsid w:val="00FA1452"/>
    <w:rsid w:val="00FA6AD1"/>
    <w:rsid w:val="00FB6FB6"/>
    <w:rsid w:val="00FC3E39"/>
    <w:rsid w:val="00FD2C7C"/>
    <w:rsid w:val="00FD356B"/>
    <w:rsid w:val="00FD3F05"/>
    <w:rsid w:val="00FD5503"/>
    <w:rsid w:val="00FD760A"/>
    <w:rsid w:val="00FD7B57"/>
    <w:rsid w:val="00FE069B"/>
    <w:rsid w:val="00FE1123"/>
    <w:rsid w:val="00FE2D63"/>
    <w:rsid w:val="00FE3909"/>
    <w:rsid w:val="00FE7A9E"/>
    <w:rsid w:val="00FF1355"/>
    <w:rsid w:val="00FF1811"/>
    <w:rsid w:val="00FF1812"/>
    <w:rsid w:val="00FF1C26"/>
    <w:rsid w:val="00FF34E5"/>
    <w:rsid w:val="00FF7CD3"/>
    <w:rsid w:val="00FF7F9B"/>
    <w:rsid w:val="11F461DD"/>
    <w:rsid w:val="1F3A6477"/>
    <w:rsid w:val="222C16AD"/>
    <w:rsid w:val="2C9F3194"/>
    <w:rsid w:val="33B97A56"/>
    <w:rsid w:val="381C1800"/>
    <w:rsid w:val="4E5E4567"/>
    <w:rsid w:val="52FF114B"/>
    <w:rsid w:val="7D334E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qFormat/>
    <w:uiPriority w:val="0"/>
    <w:rPr>
      <w:rFonts w:ascii="宋体" w:eastAsia="宋体"/>
      <w:sz w:val="18"/>
      <w:szCs w:val="18"/>
    </w:rPr>
  </w:style>
  <w:style w:type="paragraph" w:styleId="5">
    <w:name w:val="annotation text"/>
    <w:basedOn w:val="1"/>
    <w:link w:val="23"/>
    <w:unhideWhenUsed/>
    <w:qFormat/>
    <w:uiPriority w:val="0"/>
    <w:pPr>
      <w:jc w:val="left"/>
    </w:pPr>
  </w:style>
  <w:style w:type="paragraph" w:styleId="6">
    <w:name w:val="Balloon Text"/>
    <w:basedOn w:val="1"/>
    <w:link w:val="22"/>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宋体"/>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4"/>
    <w:semiHidden/>
    <w:unhideWhenUsed/>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TML Typewriter"/>
    <w:qFormat/>
    <w:uiPriority w:val="0"/>
    <w:rPr>
      <w:rFonts w:ascii="宋体" w:hAnsi="宋体" w:eastAsia="宋体" w:cs="宋体"/>
      <w:sz w:val="24"/>
      <w:szCs w:val="24"/>
    </w:rPr>
  </w:style>
  <w:style w:type="character" w:styleId="15">
    <w:name w:val="annotation reference"/>
    <w:basedOn w:val="13"/>
    <w:unhideWhenUsed/>
    <w:qFormat/>
    <w:uiPriority w:val="0"/>
    <w:rPr>
      <w:sz w:val="21"/>
      <w:szCs w:val="21"/>
    </w:rPr>
  </w:style>
  <w:style w:type="character" w:customStyle="1" w:styleId="16">
    <w:name w:val="页脚 Char"/>
    <w:basedOn w:val="13"/>
    <w:link w:val="7"/>
    <w:qFormat/>
    <w:uiPriority w:val="99"/>
    <w:rPr>
      <w:kern w:val="2"/>
      <w:sz w:val="18"/>
      <w:szCs w:val="18"/>
    </w:rPr>
  </w:style>
  <w:style w:type="paragraph" w:customStyle="1" w:styleId="17">
    <w:name w:val="Char Char Char"/>
    <w:basedOn w:val="1"/>
    <w:qFormat/>
    <w:uiPriority w:val="0"/>
    <w:pPr>
      <w:spacing w:line="360" w:lineRule="auto"/>
      <w:ind w:firstLine="560" w:firstLineChars="200"/>
    </w:pPr>
    <w:rPr>
      <w:rFonts w:ascii="Calibri" w:hAnsi="Calibri" w:eastAsia="宋体" w:cs="Times New Roman"/>
      <w:szCs w:val="20"/>
    </w:rPr>
  </w:style>
  <w:style w:type="character" w:customStyle="1" w:styleId="18">
    <w:name w:val="sect2title1"/>
    <w:basedOn w:val="13"/>
    <w:qFormat/>
    <w:uiPriority w:val="0"/>
    <w:rPr>
      <w:rFonts w:hint="eastAsia" w:ascii="微软雅黑" w:hAnsi="微软雅黑" w:eastAsia="微软雅黑"/>
      <w:b/>
      <w:bCs/>
      <w:sz w:val="21"/>
      <w:szCs w:val="21"/>
    </w:rPr>
  </w:style>
  <w:style w:type="character" w:customStyle="1" w:styleId="19">
    <w:name w:val="title1"/>
    <w:basedOn w:val="13"/>
    <w:qFormat/>
    <w:uiPriority w:val="0"/>
    <w:rPr>
      <w:rFonts w:hint="eastAsia" w:ascii="微软雅黑" w:hAnsi="微软雅黑" w:eastAsia="微软雅黑"/>
      <w:sz w:val="21"/>
      <w:szCs w:val="21"/>
    </w:rPr>
  </w:style>
  <w:style w:type="character" w:customStyle="1" w:styleId="20">
    <w:name w:val="页眉 Char"/>
    <w:basedOn w:val="13"/>
    <w:link w:val="8"/>
    <w:qFormat/>
    <w:uiPriority w:val="99"/>
    <w:rPr>
      <w:rFonts w:eastAsia="宋体"/>
      <w:kern w:val="2"/>
      <w:sz w:val="18"/>
      <w:szCs w:val="22"/>
    </w:rPr>
  </w:style>
  <w:style w:type="character" w:customStyle="1" w:styleId="21">
    <w:name w:val="文档结构图 Char"/>
    <w:basedOn w:val="13"/>
    <w:link w:val="4"/>
    <w:qFormat/>
    <w:uiPriority w:val="0"/>
    <w:rPr>
      <w:rFonts w:ascii="宋体" w:eastAsia="宋体"/>
      <w:kern w:val="2"/>
      <w:sz w:val="18"/>
      <w:szCs w:val="18"/>
    </w:rPr>
  </w:style>
  <w:style w:type="character" w:customStyle="1" w:styleId="22">
    <w:name w:val="批注框文本 Char"/>
    <w:basedOn w:val="13"/>
    <w:link w:val="6"/>
    <w:qFormat/>
    <w:uiPriority w:val="0"/>
    <w:rPr>
      <w:kern w:val="2"/>
      <w:sz w:val="18"/>
      <w:szCs w:val="18"/>
    </w:rPr>
  </w:style>
  <w:style w:type="character" w:customStyle="1" w:styleId="23">
    <w:name w:val="批注文字 Char"/>
    <w:basedOn w:val="13"/>
    <w:link w:val="5"/>
    <w:qFormat/>
    <w:uiPriority w:val="0"/>
    <w:rPr>
      <w:kern w:val="2"/>
      <w:sz w:val="21"/>
      <w:szCs w:val="22"/>
    </w:rPr>
  </w:style>
  <w:style w:type="character" w:customStyle="1" w:styleId="24">
    <w:name w:val="批注主题 Char"/>
    <w:basedOn w:val="23"/>
    <w:link w:val="10"/>
    <w:semiHidden/>
    <w:qFormat/>
    <w:uiPriority w:val="0"/>
    <w:rPr>
      <w:b/>
      <w:bCs/>
      <w:kern w:val="2"/>
      <w:sz w:val="21"/>
      <w:szCs w:val="22"/>
    </w:rPr>
  </w:style>
  <w:style w:type="paragraph" w:customStyle="1" w:styleId="25">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USE 1"/>
    <w:basedOn w:val="1"/>
    <w:qFormat/>
    <w:uiPriority w:val="0"/>
    <w:pPr>
      <w:spacing w:line="200" w:lineRule="atLeast"/>
      <w:jc w:val="left"/>
    </w:pPr>
    <w:rPr>
      <w:rFonts w:ascii="宋体" w:hAnsi="宋体" w:eastAsia="宋体" w:cs="Times New Roman"/>
      <w:b/>
      <w:sz w:val="24"/>
      <w:szCs w:val="28"/>
    </w:rPr>
  </w:style>
  <w:style w:type="character" w:customStyle="1" w:styleId="27">
    <w:name w:val="标题 1 Char"/>
    <w:basedOn w:val="13"/>
    <w:link w:val="2"/>
    <w:qFormat/>
    <w:uiPriority w:val="0"/>
    <w:rPr>
      <w:b/>
      <w:bCs/>
      <w:kern w:val="44"/>
      <w:sz w:val="44"/>
      <w:szCs w:val="44"/>
    </w:rPr>
  </w:style>
  <w:style w:type="character" w:customStyle="1" w:styleId="28">
    <w:name w:val="标题 2 Char"/>
    <w:basedOn w:val="13"/>
    <w:link w:val="3"/>
    <w:qFormat/>
    <w:uiPriority w:val="0"/>
    <w:rPr>
      <w:rFonts w:asciiTheme="majorHAnsi" w:hAnsiTheme="majorHAnsi" w:eastAsiaTheme="majorEastAsia" w:cstheme="majorBidi"/>
      <w:b/>
      <w:bCs/>
      <w:kern w:val="2"/>
      <w:sz w:val="32"/>
      <w:szCs w:val="32"/>
    </w:rPr>
  </w:style>
  <w:style w:type="paragraph" w:customStyle="1" w:styleId="29">
    <w:name w:val="0级"/>
    <w:basedOn w:val="1"/>
    <w:link w:val="30"/>
    <w:qFormat/>
    <w:uiPriority w:val="0"/>
    <w:pPr>
      <w:ind w:left="420" w:hanging="420"/>
    </w:pPr>
    <w:rPr>
      <w:rFonts w:ascii="宋体" w:hAnsi="宋体" w:eastAsia="宋体" w:cs="Times New Roman"/>
      <w:color w:val="000000"/>
      <w:szCs w:val="21"/>
    </w:rPr>
  </w:style>
  <w:style w:type="character" w:customStyle="1" w:styleId="30">
    <w:name w:val="0级 Char"/>
    <w:link w:val="29"/>
    <w:qFormat/>
    <w:uiPriority w:val="0"/>
    <w:rPr>
      <w:rFonts w:ascii="宋体" w:hAnsi="宋体" w:eastAsia="宋体" w:cs="Times New Roman"/>
      <w:color w:val="000000"/>
      <w:kern w:val="2"/>
      <w:sz w:val="21"/>
      <w:szCs w:val="21"/>
    </w:rPr>
  </w:style>
  <w:style w:type="paragraph" w:customStyle="1" w:styleId="31">
    <w:name w:val="正文2"/>
    <w:basedOn w:val="1"/>
    <w:qFormat/>
    <w:uiPriority w:val="0"/>
    <w:pPr>
      <w:ind w:firstLine="480" w:firstLineChars="200"/>
    </w:pPr>
    <w:rPr>
      <w:rFonts w:ascii="华文细黑" w:hAnsi="华文细黑" w:eastAsia="华文细黑"/>
      <w:sz w:val="24"/>
      <w:szCs w:val="24"/>
      <w:shd w:val="clear" w:color="auto" w:fill="FFFFFF"/>
    </w:rPr>
  </w:style>
  <w:style w:type="paragraph" w:styleId="32">
    <w:name w:val="List Paragraph"/>
    <w:basedOn w:val="1"/>
    <w:qFormat/>
    <w:uiPriority w:val="34"/>
    <w:pPr>
      <w:ind w:firstLine="420" w:firstLineChars="200"/>
    </w:pPr>
  </w:style>
  <w:style w:type="paragraph" w:customStyle="1" w:styleId="33">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60316-9201-402D-BAB5-DF045A3E767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13072</Words>
  <Characters>2599</Characters>
  <Lines>21</Lines>
  <Paragraphs>31</Paragraphs>
  <TotalTime>21</TotalTime>
  <ScaleCrop>false</ScaleCrop>
  <LinksUpToDate>false</LinksUpToDate>
  <CharactersWithSpaces>15640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2021-07-13T10:08:00Z</dcterms:created>
  <dc:creator>shenyj</dc:creator>
  <cp:lastModifiedBy>Administrator</cp:lastModifiedBy>
  <cp:lastPrinted>2018-06-21T01:12:00Z</cp:lastPrinted>
  <dcterms:modified xsi:type="dcterms:W3CDTF">2021-09-26T10:00:28Z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A3352A5BC624430191F9EB2B9441C111</vt:lpwstr>
  </property>
</Properties>
</file>